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9E1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snapToGrid w:val="0"/>
          <w:color w:val="000000"/>
          <w:spacing w:val="12"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napToGrid w:val="0"/>
          <w:color w:val="000000"/>
          <w:spacing w:val="12"/>
          <w:kern w:val="0"/>
          <w:sz w:val="32"/>
          <w:szCs w:val="32"/>
          <w:lang w:val="en-US" w:eastAsia="zh-CN"/>
          <w14:ligatures w14:val="none"/>
        </w:rPr>
        <w:t>山东圣翰财贸职业学院</w:t>
      </w:r>
    </w:p>
    <w:p w14:paraId="7A6AC2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snapToGrid w:val="0"/>
          <w:color w:val="000000"/>
          <w:spacing w:val="12"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napToGrid w:val="0"/>
          <w:color w:val="000000"/>
          <w:spacing w:val="12"/>
          <w:kern w:val="0"/>
          <w:sz w:val="32"/>
          <w:szCs w:val="32"/>
          <w:lang w:val="en-US" w:eastAsia="zh-CN"/>
          <w14:ligatures w14:val="none"/>
        </w:rPr>
        <w:t>2026年“说课程”活动实施方案</w:t>
      </w:r>
    </w:p>
    <w:p w14:paraId="687C71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snapToGrid w:val="0"/>
          <w:color w:val="000000"/>
          <w:spacing w:val="12"/>
          <w:kern w:val="0"/>
          <w:sz w:val="32"/>
          <w:szCs w:val="32"/>
          <w:lang w:val="en-US" w:eastAsia="zh-CN"/>
          <w14:ligatures w14:val="none"/>
        </w:rPr>
      </w:pPr>
    </w:p>
    <w:p w14:paraId="4DE59FD4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:sz w:val="28"/>
          <w:szCs w:val="28"/>
          <w14:ligatures w14:val="none"/>
        </w:rPr>
      </w:pPr>
      <w:r>
        <w:rPr>
          <w:snapToGrid w:val="0"/>
          <w:color w:val="000000"/>
          <w:spacing w:val="2"/>
          <w:kern w:val="0"/>
          <w:sz w:val="28"/>
          <w:szCs w:val="28"/>
          <w14:ligatures w14:val="none"/>
        </w:rPr>
        <w:t>为深入落实立德树人根本任务，深化职业教育课堂教学改革，夯实课程建设根基，强化教师教学基本功，全面提升人才培养质量，结合我校教育教学实际，制定本实施方案。</w:t>
      </w:r>
    </w:p>
    <w:p w14:paraId="6EB7B1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firstLine="544" w:firstLineChars="200"/>
        <w:jc w:val="both"/>
        <w:textAlignment w:val="baseline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  <w:t>一、活动总则</w:t>
      </w:r>
    </w:p>
    <w:p w14:paraId="5B7689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firstLine="546" w:firstLineChars="200"/>
        <w:jc w:val="both"/>
        <w:textAlignment w:val="baseline"/>
        <w:rPr>
          <w:rFonts w:hint="eastAsia" w:ascii="楷体" w:hAnsi="楷体" w:eastAsia="楷体" w:cs="楷体"/>
          <w:b/>
          <w:bCs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</w:pPr>
      <w:r>
        <w:rPr>
          <w:rFonts w:hint="eastAsia" w:ascii="楷体" w:hAnsi="楷体" w:eastAsia="楷体" w:cs="楷体"/>
          <w:b/>
          <w:bCs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  <w:t>（一）活动目的</w:t>
      </w:r>
    </w:p>
    <w:p w14:paraId="7BDA8799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snapToGrid w:val="0"/>
          <w:color w:val="000000"/>
          <w:spacing w:val="2"/>
          <w:kern w:val="0"/>
          <w14:ligatures w14:val="none"/>
        </w:rPr>
        <w:t>以提升课程教学质量为核心，以夯实教师教学能力为抓手，紧扣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高素质技能人才培养</w:t>
      </w:r>
      <w:r>
        <w:rPr>
          <w:snapToGrid w:val="0"/>
          <w:color w:val="000000"/>
          <w:spacing w:val="2"/>
          <w:kern w:val="0"/>
          <w14:ligatures w14:val="none"/>
        </w:rPr>
        <w:t>核心目标，通过开展“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说课程</w:t>
      </w:r>
      <w:r>
        <w:rPr>
          <w:snapToGrid w:val="0"/>
          <w:color w:val="000000"/>
          <w:spacing w:val="2"/>
          <w:kern w:val="0"/>
          <w14:ligatures w14:val="none"/>
        </w:rPr>
        <w:t>”活动，引导教师精准把握课程定位、优化教学内容、创新教学模式、深化信息化教学与课程思政建设。坚持</w:t>
      </w:r>
      <w:r>
        <w:rPr>
          <w:b/>
          <w:bCs/>
          <w:snapToGrid w:val="0"/>
          <w:color w:val="000000"/>
          <w:spacing w:val="2"/>
          <w:kern w:val="0"/>
          <w14:ligatures w14:val="none"/>
        </w:rPr>
        <w:t>以说促教、以说促改、以说促建</w:t>
      </w:r>
      <w:r>
        <w:rPr>
          <w:snapToGrid w:val="0"/>
          <w:color w:val="000000"/>
          <w:spacing w:val="2"/>
          <w:kern w:val="0"/>
          <w14:ligatures w14:val="none"/>
        </w:rPr>
        <w:t>，持续提升课程教学质量与人才培养适配度，构建契合产业发展需求的高质量课程体系，助力学校高质量内涵式发展，培养德技并修的高素质技能人才。</w:t>
      </w:r>
    </w:p>
    <w:p w14:paraId="428BA8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firstLine="546" w:firstLineChars="200"/>
        <w:jc w:val="both"/>
        <w:textAlignment w:val="baseline"/>
        <w:rPr>
          <w:rFonts w:hint="eastAsia" w:ascii="楷体" w:hAnsi="楷体" w:eastAsia="楷体" w:cs="楷体"/>
          <w:b/>
          <w:bCs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</w:pPr>
      <w:r>
        <w:rPr>
          <w:rFonts w:hint="eastAsia" w:ascii="楷体" w:hAnsi="楷体" w:eastAsia="楷体" w:cs="楷体"/>
          <w:b/>
          <w:bCs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  <w:t>（二）组织架构</w:t>
      </w:r>
    </w:p>
    <w:p w14:paraId="54253DE0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70" w:firstLineChars="200"/>
        <w:jc w:val="both"/>
        <w:textAlignment w:val="baseline"/>
        <w:rPr>
          <w:rFonts w:hint="eastAsia"/>
          <w:b/>
          <w:bCs/>
          <w:snapToGrid w:val="0"/>
          <w:color w:val="000000"/>
          <w:spacing w:val="2"/>
          <w:kern w:val="0"/>
          <w14:ligatures w14:val="none"/>
        </w:rPr>
      </w:pPr>
      <w:r>
        <w:rPr>
          <w:b/>
          <w:bCs/>
          <w:snapToGrid w:val="0"/>
          <w:color w:val="000000"/>
          <w:spacing w:val="2"/>
          <w:kern w:val="0"/>
          <w14:ligatures w14:val="none"/>
        </w:rPr>
        <w:t>1.成立专项工作领导小组</w:t>
      </w:r>
    </w:p>
    <w:p w14:paraId="13867C85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snapToGrid w:val="0"/>
          <w:color w:val="000000"/>
          <w:spacing w:val="2"/>
          <w:kern w:val="0"/>
          <w14:ligatures w14:val="none"/>
        </w:rPr>
      </w:pPr>
      <w:r>
        <w:rPr>
          <w:snapToGrid w:val="0"/>
          <w:color w:val="000000"/>
          <w:spacing w:val="2"/>
          <w:kern w:val="0"/>
          <w14:ligatures w14:val="none"/>
        </w:rPr>
        <w:t>成立全校“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说课程</w:t>
      </w:r>
      <w:r>
        <w:rPr>
          <w:snapToGrid w:val="0"/>
          <w:color w:val="000000"/>
          <w:spacing w:val="2"/>
          <w:kern w:val="0"/>
          <w14:ligatures w14:val="none"/>
        </w:rPr>
        <w:t>”专项工作领导小组，统筹负责活动整体规划、标准制定、过程督导、成果评审、考核运用与整改落实全流程工作。</w:t>
      </w:r>
    </w:p>
    <w:p w14:paraId="65F27462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snapToGrid w:val="0"/>
          <w:color w:val="000000"/>
          <w:spacing w:val="2"/>
          <w:kern w:val="0"/>
          <w14:ligatures w14:val="none"/>
        </w:rPr>
        <w:t>领导小组构成如下：</w:t>
      </w:r>
    </w:p>
    <w:p w14:paraId="0164BC96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snapToGrid w:val="0"/>
          <w:color w:val="000000"/>
          <w:spacing w:val="2"/>
          <w:kern w:val="0"/>
          <w14:ligatures w14:val="none"/>
        </w:rPr>
        <w:t>组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 xml:space="preserve"> </w:t>
      </w:r>
      <w:r>
        <w:rPr>
          <w:snapToGrid w:val="0"/>
          <w:color w:val="000000"/>
          <w:spacing w:val="2"/>
          <w:kern w:val="0"/>
          <w14:ligatures w14:val="none"/>
        </w:rPr>
        <w:t xml:space="preserve"> 长：分管教学副校长</w:t>
      </w:r>
    </w:p>
    <w:p w14:paraId="600B24FC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snapToGrid w:val="0"/>
          <w:color w:val="000000"/>
          <w:spacing w:val="2"/>
          <w:kern w:val="0"/>
          <w14:ligatures w14:val="none"/>
        </w:rPr>
        <w:t>副组长：教务处处长、各二级学院（部）院长</w:t>
      </w:r>
    </w:p>
    <w:p w14:paraId="2E167DAE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snapToGrid w:val="0"/>
          <w:color w:val="000000"/>
          <w:spacing w:val="2"/>
          <w:kern w:val="0"/>
          <w14:ligatures w14:val="none"/>
        </w:rPr>
        <w:t xml:space="preserve">成 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 xml:space="preserve"> </w:t>
      </w:r>
      <w:r>
        <w:rPr>
          <w:snapToGrid w:val="0"/>
          <w:color w:val="000000"/>
          <w:spacing w:val="2"/>
          <w:kern w:val="0"/>
          <w14:ligatures w14:val="none"/>
        </w:rPr>
        <w:t>员：教务处副处长、各二级学院（部）教学副院长</w:t>
      </w:r>
    </w:p>
    <w:p w14:paraId="4E5D5B77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snapToGrid w:val="0"/>
          <w:color w:val="000000"/>
          <w:spacing w:val="2"/>
          <w:kern w:val="0"/>
          <w14:ligatures w14:val="none"/>
        </w:rPr>
        <w:t>领导小组下设办公室，办公室设在教务处，负责活动日常协调、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说课程</w:t>
      </w:r>
      <w:r>
        <w:rPr>
          <w:snapToGrid w:val="0"/>
          <w:color w:val="000000"/>
          <w:spacing w:val="2"/>
          <w:kern w:val="0"/>
          <w14:ligatures w14:val="none"/>
        </w:rPr>
        <w:t>标准解读、评审专家联络、教学材料收集归档、问题整改跟踪、活动总结、成果推广等常态化事务。</w:t>
      </w:r>
    </w:p>
    <w:p w14:paraId="02D8E7E1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70" w:firstLineChars="200"/>
        <w:jc w:val="both"/>
        <w:textAlignment w:val="baseline"/>
        <w:rPr>
          <w:rFonts w:hint="eastAsia"/>
          <w:b/>
          <w:bCs/>
          <w:snapToGrid w:val="0"/>
          <w:color w:val="000000"/>
          <w:spacing w:val="2"/>
          <w:kern w:val="0"/>
          <w14:ligatures w14:val="none"/>
        </w:rPr>
      </w:pPr>
      <w:r>
        <w:rPr>
          <w:b/>
          <w:bCs/>
          <w:snapToGrid w:val="0"/>
          <w:color w:val="000000"/>
          <w:spacing w:val="2"/>
          <w:kern w:val="0"/>
          <w14:ligatures w14:val="none"/>
        </w:rPr>
        <w:t>2.成立校院两级评审专家组</w:t>
      </w:r>
    </w:p>
    <w:p w14:paraId="54BEA98A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snapToGrid w:val="0"/>
          <w:color w:val="000000"/>
          <w:spacing w:val="2"/>
          <w:kern w:val="0"/>
          <w14:ligatures w14:val="none"/>
        </w:rPr>
        <w:t>校级评审专家组由教务处统一遴选，负责校级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说课程</w:t>
      </w:r>
      <w:r>
        <w:rPr>
          <w:snapToGrid w:val="0"/>
          <w:color w:val="000000"/>
          <w:spacing w:val="2"/>
          <w:kern w:val="0"/>
          <w14:ligatures w14:val="none"/>
        </w:rPr>
        <w:t>评比、全校随机抽检评审、教学问题研判与教学指导工作。</w:t>
      </w:r>
    </w:p>
    <w:p w14:paraId="2C7C7E40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snapToGrid w:val="0"/>
          <w:color w:val="000000"/>
          <w:spacing w:val="2"/>
          <w:kern w:val="0"/>
          <w14:ligatures w14:val="none"/>
        </w:rPr>
        <w:t>院级评审专家组由各教学单位自行组建，原则上由教学单位负责人担任组长，并邀请专家参与。</w:t>
      </w:r>
    </w:p>
    <w:p w14:paraId="19989B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firstLine="546" w:firstLineChars="200"/>
        <w:jc w:val="both"/>
        <w:textAlignment w:val="baseline"/>
        <w:rPr>
          <w:rFonts w:hint="eastAsia" w:ascii="楷体" w:hAnsi="楷体" w:eastAsia="楷体" w:cs="楷体"/>
          <w:b/>
          <w:bCs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</w:pPr>
      <w:r>
        <w:rPr>
          <w:rFonts w:hint="eastAsia" w:ascii="楷体" w:hAnsi="楷体" w:eastAsia="楷体" w:cs="楷体"/>
          <w:b/>
          <w:bCs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  <w:t>（三）参与范围</w:t>
      </w:r>
    </w:p>
    <w:p w14:paraId="72941D49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snapToGrid w:val="0"/>
          <w:color w:val="000000"/>
          <w:spacing w:val="2"/>
          <w:kern w:val="0"/>
          <w14:ligatures w14:val="none"/>
        </w:rPr>
        <w:t>全校所有在岗专任教师全员参与，实现</w:t>
      </w:r>
      <w:r>
        <w:rPr>
          <w:b/>
          <w:bCs/>
          <w:snapToGrid w:val="0"/>
          <w:color w:val="000000"/>
          <w:spacing w:val="2"/>
          <w:kern w:val="0"/>
          <w14:ligatures w14:val="none"/>
        </w:rPr>
        <w:t>专业全覆盖、教师全覆盖</w:t>
      </w:r>
      <w:r>
        <w:rPr>
          <w:snapToGrid w:val="0"/>
          <w:color w:val="000000"/>
          <w:spacing w:val="2"/>
          <w:kern w:val="0"/>
          <w14:ligatures w14:val="none"/>
        </w:rPr>
        <w:t>。</w:t>
      </w:r>
    </w:p>
    <w:p w14:paraId="50107D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firstLine="544" w:firstLineChars="200"/>
        <w:jc w:val="both"/>
        <w:textAlignment w:val="baseline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  <w:t>二、“说课程”内容</w:t>
      </w:r>
    </w:p>
    <w:p w14:paraId="1378D6CB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rFonts w:hint="eastAsia"/>
          <w:snapToGrid w:val="0"/>
          <w:color w:val="000000"/>
          <w:spacing w:val="2"/>
          <w:kern w:val="0"/>
          <w14:ligatures w14:val="none"/>
        </w:rPr>
        <w:t>“说课程”课程须为专业人才培养方案中规定开设的课程，优先安排公共基础课、专业基础课、专业核心课，也可安排专业拓展课。说课程</w:t>
      </w:r>
      <w:r>
        <w:rPr>
          <w:snapToGrid w:val="0"/>
          <w:color w:val="000000"/>
          <w:spacing w:val="2"/>
          <w:kern w:val="0"/>
          <w14:ligatures w14:val="none"/>
        </w:rPr>
        <w:t>内容应对标专业人才培养方案、课程标准、岗位典型工作任务，围绕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以下8个方面</w:t>
      </w:r>
      <w:r>
        <w:rPr>
          <w:snapToGrid w:val="0"/>
          <w:color w:val="000000"/>
          <w:spacing w:val="2"/>
          <w:kern w:val="0"/>
          <w14:ligatures w14:val="none"/>
        </w:rPr>
        <w:t>展开：</w:t>
      </w:r>
    </w:p>
    <w:p w14:paraId="1DF5CC3E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70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rFonts w:hint="eastAsia"/>
          <w:b/>
          <w:bCs/>
          <w:snapToGrid w:val="0"/>
          <w:color w:val="000000"/>
          <w:spacing w:val="2"/>
          <w:kern w:val="0"/>
          <w14:ligatures w14:val="none"/>
        </w:rPr>
        <w:t>1.课程定位：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立足专业培养目标与就业岗位，明晰课程在方案中的承上启下作用，体现产教融合与校企合作。</w:t>
      </w:r>
    </w:p>
    <w:p w14:paraId="1546D609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70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rFonts w:hint="eastAsia"/>
          <w:b/>
          <w:bCs/>
          <w:snapToGrid w:val="0"/>
          <w:color w:val="000000"/>
          <w:spacing w:val="2"/>
          <w:kern w:val="0"/>
          <w14:ligatures w14:val="none"/>
        </w:rPr>
        <w:t>2.课程设计：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秉持先进职教理念，结合学情与行业企业合作，重构模块化内容，凸显职业性、实践性与开放性。</w:t>
      </w:r>
    </w:p>
    <w:p w14:paraId="489441C2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70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rFonts w:hint="eastAsia"/>
          <w:b/>
          <w:bCs/>
          <w:snapToGrid w:val="0"/>
          <w:color w:val="000000"/>
          <w:spacing w:val="2"/>
          <w:kern w:val="0"/>
          <w14:ligatures w14:val="none"/>
        </w:rPr>
        <w:t>3.课程目标：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对标职业岗位需求，贴合学生发展与高职育人要求，明确可量化的知识、能力目标，融入课程思政，全方位落实立德树人育人要求。</w:t>
      </w:r>
    </w:p>
    <w:p w14:paraId="0C934F99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70" w:firstLineChars="200"/>
        <w:jc w:val="both"/>
        <w:textAlignment w:val="baseline"/>
        <w:rPr>
          <w:snapToGrid w:val="0"/>
          <w:color w:val="000000"/>
          <w:spacing w:val="2"/>
          <w:kern w:val="0"/>
          <w14:ligatures w14:val="none"/>
        </w:rPr>
      </w:pPr>
      <w:r>
        <w:rPr>
          <w:rFonts w:hint="eastAsia"/>
          <w:b/>
          <w:bCs/>
          <w:snapToGrid w:val="0"/>
          <w:color w:val="000000"/>
          <w:spacing w:val="2"/>
          <w:kern w:val="0"/>
          <w14:ligatures w14:val="none"/>
        </w:rPr>
        <w:t>4.课程内容：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依托岗课赛证融通重构课程模块，贴合岗位真实工作场景，及时融入行业新技术新工艺，明确重难点，精准支撑课程育人目标落地。</w:t>
      </w:r>
    </w:p>
    <w:p w14:paraId="23C53771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70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rFonts w:hint="eastAsia"/>
          <w:b/>
          <w:bCs/>
          <w:snapToGrid w:val="0"/>
          <w:color w:val="000000"/>
          <w:spacing w:val="2"/>
          <w:kern w:val="0"/>
          <w14:ligatures w14:val="none"/>
        </w:rPr>
        <w:t>5.教学实施：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教学情境创设、教学方法与手段选用、课堂组织流程、理实一体化教学安排。</w:t>
      </w:r>
    </w:p>
    <w:p w14:paraId="165AC327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70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rFonts w:hint="eastAsia"/>
          <w:b/>
          <w:bCs/>
          <w:snapToGrid w:val="0"/>
          <w:color w:val="000000"/>
          <w:spacing w:val="2"/>
          <w:kern w:val="0"/>
          <w14:ligatures w14:val="none"/>
        </w:rPr>
        <w:t>6.教学资源：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教材与讲义、数字化资源、实训条件、校企合作资源支撑情况。</w:t>
      </w:r>
    </w:p>
    <w:p w14:paraId="0C680BB8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70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rFonts w:hint="eastAsia"/>
          <w:b/>
          <w:bCs/>
          <w:snapToGrid w:val="0"/>
          <w:color w:val="000000"/>
          <w:spacing w:val="2"/>
          <w:kern w:val="0"/>
          <w14:ligatures w14:val="none"/>
        </w:rPr>
        <w:t>7.考核评价：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多元考核方案、评分标准、课程目标达成度评价、学情反馈与分层教学举措。</w:t>
      </w:r>
    </w:p>
    <w:p w14:paraId="655EBA64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70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rFonts w:hint="eastAsia"/>
          <w:b/>
          <w:bCs/>
          <w:snapToGrid w:val="0"/>
          <w:color w:val="000000"/>
          <w:spacing w:val="2"/>
          <w:kern w:val="0"/>
          <w14:ligatures w14:val="none"/>
        </w:rPr>
        <w:t>8.教学成效：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课程目标达成情况、学生能力提升成果、课程建设与改革特色亮点。</w:t>
      </w:r>
    </w:p>
    <w:p w14:paraId="1ABDC1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firstLine="544" w:firstLineChars="200"/>
        <w:jc w:val="both"/>
        <w:textAlignment w:val="baseline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  <w:t>三、说课程形式与时长</w:t>
      </w:r>
    </w:p>
    <w:p w14:paraId="0FB11394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rFonts w:hint="eastAsia"/>
          <w:snapToGrid w:val="0"/>
          <w:color w:val="000000"/>
          <w:spacing w:val="2"/>
          <w:kern w:val="0"/>
          <w14:ligatures w14:val="none"/>
        </w:rPr>
        <w:t>1.说课程时间：控制在20分钟内，汇报逻辑清晰、重点突出。</w:t>
      </w:r>
    </w:p>
    <w:p w14:paraId="608B729F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rFonts w:hint="eastAsia"/>
          <w:snapToGrid w:val="0"/>
          <w:color w:val="000000"/>
          <w:spacing w:val="2"/>
          <w:kern w:val="0"/>
          <w14:ligatures w14:val="none"/>
        </w:rPr>
        <w:t>2.说课程形式：现场说课程，须配合PPT课件演示。教师须准备课程教学文件现场备查，包含人才培养方案、课程标准、授课计划、教材/讲义、教案等。</w:t>
      </w:r>
    </w:p>
    <w:p w14:paraId="064841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firstLine="544" w:firstLineChars="200"/>
        <w:jc w:val="both"/>
        <w:textAlignment w:val="baseline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  <w:t>四、组织实施</w:t>
      </w:r>
    </w:p>
    <w:p w14:paraId="1D3AC165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70" w:firstLineChars="200"/>
        <w:jc w:val="both"/>
        <w:textAlignment w:val="baseline"/>
        <w:rPr>
          <w:rFonts w:hint="eastAsia"/>
          <w:b/>
          <w:bCs/>
          <w:snapToGrid w:val="0"/>
          <w:color w:val="000000"/>
          <w:spacing w:val="2"/>
          <w:kern w:val="0"/>
          <w:lang w:eastAsia="en-US"/>
          <w14:ligatures w14:val="none"/>
        </w:rPr>
      </w:pPr>
      <w:r>
        <w:rPr>
          <w:rFonts w:hint="eastAsia"/>
          <w:b/>
          <w:bCs/>
          <w:snapToGrid w:val="0"/>
          <w:color w:val="000000"/>
          <w:spacing w:val="2"/>
          <w:kern w:val="0"/>
          <w:lang w:val="en-US" w:eastAsia="zh-CN"/>
          <w14:ligatures w14:val="none"/>
        </w:rPr>
        <w:t>本次活动分四个阶段实施。</w:t>
      </w:r>
    </w:p>
    <w:p w14:paraId="4364F8A7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70" w:firstLineChars="200"/>
        <w:jc w:val="both"/>
        <w:textAlignment w:val="baseline"/>
        <w:rPr>
          <w:rFonts w:hint="eastAsia"/>
          <w:b/>
          <w:bCs/>
          <w:snapToGrid w:val="0"/>
          <w:color w:val="000000"/>
          <w:spacing w:val="2"/>
          <w:kern w:val="0"/>
          <w:lang w:eastAsia="en-US"/>
          <w14:ligatures w14:val="none"/>
        </w:rPr>
      </w:pPr>
      <w:r>
        <w:rPr>
          <w:rFonts w:hint="eastAsia"/>
          <w:b/>
          <w:bCs/>
          <w:snapToGrid w:val="0"/>
          <w:color w:val="000000"/>
          <w:spacing w:val="2"/>
          <w:kern w:val="0"/>
          <w:lang w:eastAsia="en-US"/>
          <w14:ligatures w14:val="none"/>
        </w:rPr>
        <w:t>第一阶段：启动工作</w:t>
      </w:r>
    </w:p>
    <w:p w14:paraId="309BFD67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  <w:t>1.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教务处发布实施方案，并配套“说课程”活动评分标准（附件1）、“说课程”活动记录表（附件2），启动“说课程”活动。</w:t>
      </w:r>
    </w:p>
    <w:p w14:paraId="7D9F9824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14:ligatures w14:val="none"/>
        </w:rPr>
      </w:pPr>
      <w:r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  <w:t>2.</w:t>
      </w:r>
      <w:r>
        <w:rPr>
          <w:rFonts w:hint="eastAsia"/>
          <w:snapToGrid w:val="0"/>
          <w:color w:val="000000"/>
          <w:spacing w:val="2"/>
          <w:kern w:val="0"/>
          <w14:ligatures w14:val="none"/>
        </w:rPr>
        <w:t>各院（部）召开动员部署会，传达活动要求，明确教师任务。结合本院（部）特色，制定活动实施细则，梳理说课程教师、课程清单（附件3），报送教务处备案。</w:t>
      </w:r>
    </w:p>
    <w:p w14:paraId="729685CB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70" w:firstLineChars="200"/>
        <w:jc w:val="both"/>
        <w:textAlignment w:val="baseline"/>
        <w:rPr>
          <w:rFonts w:hint="eastAsia"/>
          <w:b/>
          <w:bCs/>
          <w:snapToGrid w:val="0"/>
          <w:color w:val="000000"/>
          <w:spacing w:val="2"/>
          <w:kern w:val="0"/>
          <w:lang w:eastAsia="en-US"/>
          <w14:ligatures w14:val="none"/>
        </w:rPr>
      </w:pPr>
      <w:r>
        <w:rPr>
          <w:rFonts w:hint="eastAsia"/>
          <w:b/>
          <w:bCs/>
          <w:snapToGrid w:val="0"/>
          <w:color w:val="000000"/>
          <w:spacing w:val="2"/>
          <w:kern w:val="0"/>
          <w:lang w:eastAsia="en-US"/>
          <w14:ligatures w14:val="none"/>
        </w:rPr>
        <w:t>第二阶段：院（部）全员说课程与初评</w:t>
      </w:r>
    </w:p>
    <w:p w14:paraId="59EC0A80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</w:pPr>
      <w:r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  <w:t>1.组建评审专家组。各院（部）组建3-5人的评审专家组，负责院（部）教师“说课程”评审、现场点评、教学指导，全面提升教师“说课程”质量。</w:t>
      </w:r>
    </w:p>
    <w:p w14:paraId="68E5DE58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</w:pPr>
      <w:r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  <w:t>2.开展全员说课程。组织本院（部）全体专任教师开展“说课程”活动，每位教师选取1门主讲课程完成“说课程”展示。鼓励各院（部）设计统一、规范、贴合专业特色的说课程PPT模板，统一本院（部）说课程展示规范。同时，院（部）应做好活动记录、评分表、现场资料等的归档工作。</w:t>
      </w:r>
    </w:p>
    <w:p w14:paraId="1DC70484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</w:pPr>
      <w:r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  <w:t>3.择优推荐上报。各院（部）结合教师说课程表现、教学设计质量、课程建设水平等综合评选2-3名优秀说课</w:t>
      </w:r>
      <w:r>
        <w:rPr>
          <w:rFonts w:hint="default"/>
          <w:snapToGrid w:val="0"/>
          <w:color w:val="000000"/>
          <w:spacing w:val="2"/>
          <w:kern w:val="0"/>
          <w:lang w:val="en-US" w:eastAsia="zh-CN"/>
          <w14:ligatures w14:val="none"/>
        </w:rPr>
        <w:t>程</w:t>
      </w:r>
      <w:r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  <w:t>教师（附件4），参与校级说课程评比。</w:t>
      </w:r>
    </w:p>
    <w:p w14:paraId="6A976314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70" w:firstLineChars="200"/>
        <w:jc w:val="both"/>
        <w:textAlignment w:val="baseline"/>
        <w:rPr>
          <w:rFonts w:hint="eastAsia"/>
          <w:b/>
          <w:bCs/>
          <w:snapToGrid w:val="0"/>
          <w:color w:val="000000"/>
          <w:spacing w:val="2"/>
          <w:kern w:val="0"/>
          <w:lang w:eastAsia="en-US"/>
          <w14:ligatures w14:val="none"/>
        </w:rPr>
      </w:pPr>
      <w:r>
        <w:rPr>
          <w:rFonts w:hint="eastAsia"/>
          <w:b/>
          <w:bCs/>
          <w:snapToGrid w:val="0"/>
          <w:color w:val="000000"/>
          <w:spacing w:val="2"/>
          <w:kern w:val="0"/>
          <w:lang w:eastAsia="en-US"/>
          <w14:ligatures w14:val="none"/>
        </w:rPr>
        <w:t>第三阶段：校级说课程评比</w:t>
      </w:r>
      <w:bookmarkStart w:id="0" w:name="OLE_LINK3"/>
    </w:p>
    <w:bookmarkEnd w:id="0"/>
    <w:p w14:paraId="41452990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</w:pPr>
      <w:r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  <w:t>1.校级说课程评比活动。教务处统筹组建校级评审专家组，组织开展校级“说课程”评比活动，评选一、二、三等奖，颁发荣誉证书。</w:t>
      </w:r>
    </w:p>
    <w:p w14:paraId="3FB02BA0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</w:pPr>
      <w:r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  <w:t>2.优秀“说课程”案例推广。汇总优秀课程案例并组织推广，汇编形成《校级优秀说课程示范案例集》，供全校教师参考学习。</w:t>
      </w:r>
    </w:p>
    <w:p w14:paraId="452C6C9A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70" w:firstLineChars="200"/>
        <w:jc w:val="both"/>
        <w:textAlignment w:val="baseline"/>
        <w:rPr>
          <w:rFonts w:hint="eastAsia"/>
          <w:b/>
          <w:bCs/>
          <w:snapToGrid w:val="0"/>
          <w:color w:val="000000"/>
          <w:spacing w:val="2"/>
          <w:kern w:val="0"/>
          <w:lang w:eastAsia="en-US"/>
          <w14:ligatures w14:val="none"/>
        </w:rPr>
      </w:pPr>
      <w:r>
        <w:rPr>
          <w:rFonts w:hint="eastAsia"/>
          <w:b/>
          <w:bCs/>
          <w:snapToGrid w:val="0"/>
          <w:color w:val="000000"/>
          <w:spacing w:val="2"/>
          <w:kern w:val="0"/>
          <w:lang w:eastAsia="en-US"/>
          <w14:ligatures w14:val="none"/>
        </w:rPr>
        <w:t>第四阶段：全员随机抽检</w:t>
      </w:r>
    </w:p>
    <w:p w14:paraId="50CB68E0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</w:pPr>
      <w:r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  <w:t>本阶段为专项活动成果巩固与常态化质量监控机制，重点对院级说课</w:t>
      </w:r>
      <w:r>
        <w:rPr>
          <w:rFonts w:hint="default"/>
          <w:snapToGrid w:val="0"/>
          <w:color w:val="000000"/>
          <w:spacing w:val="2"/>
          <w:kern w:val="0"/>
          <w:lang w:val="en-US" w:eastAsia="zh-CN"/>
          <w14:ligatures w14:val="none"/>
        </w:rPr>
        <w:t>程</w:t>
      </w:r>
      <w:r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  <w:t>质量进行复核抽检，不替代院级全员初评。建立教师“说课程”全员抽检机制，由校级评审专家组负责全校专任教师随机抽检工作，实现专业、教师全覆盖。</w:t>
      </w:r>
    </w:p>
    <w:p w14:paraId="671371AC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</w:pPr>
      <w:r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  <w:t>1.实行随机抽选制度。每轮随机抽取15名专任教师参与现场说课程抽检，重点抽检院级初评结果为“合格”及以下等次的教师，兼顾不同专业、不同课程类型，分批次完成全员考核。</w:t>
      </w:r>
    </w:p>
    <w:p w14:paraId="5C358DFF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</w:pPr>
      <w:r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  <w:t>2.抽检评价结果分为优秀、良好、合格、不合格四个等次。抽检结果不合格的教师，须在1个月内完成整改，参加下一轮抽检复核；累计两轮抽检不合格的，由所在院部制定“一对一”帮扶方案，通过师徒结对、专项教研、集中培训等方式督促提升，学校统一组织专项复评，直至达标。</w:t>
      </w:r>
    </w:p>
    <w:p w14:paraId="2CCF667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firstLine="544" w:firstLineChars="200"/>
        <w:jc w:val="both"/>
        <w:textAlignment w:val="baseline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  <w:t>五、工作保障与考核运用</w:t>
      </w:r>
    </w:p>
    <w:p w14:paraId="4DCDEE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firstLine="546" w:firstLineChars="200"/>
        <w:jc w:val="both"/>
        <w:textAlignment w:val="baseline"/>
        <w:rPr>
          <w:rFonts w:hint="eastAsia" w:ascii="楷体" w:hAnsi="楷体" w:eastAsia="楷体" w:cs="楷体"/>
          <w:b/>
          <w:bCs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</w:pPr>
      <w:r>
        <w:rPr>
          <w:rFonts w:hint="eastAsia" w:ascii="楷体" w:hAnsi="楷体" w:eastAsia="楷体" w:cs="楷体"/>
          <w:b/>
          <w:bCs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  <w:t>（一）强化督导巡查</w:t>
      </w:r>
    </w:p>
    <w:p w14:paraId="4DC352E8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8" w:firstLineChars="200"/>
        <w:jc w:val="both"/>
        <w:textAlignment w:val="baseline"/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</w:pPr>
      <w:r>
        <w:rPr>
          <w:rFonts w:hint="eastAsia"/>
          <w:snapToGrid w:val="0"/>
          <w:color w:val="000000"/>
          <w:spacing w:val="2"/>
          <w:kern w:val="0"/>
          <w:lang w:val="en-US" w:eastAsia="zh-CN"/>
          <w14:ligatures w14:val="none"/>
        </w:rPr>
        <w:t>活动领导小组对两级“说课程”活动开展全过程督导巡查，不定期抽查各院（部）活动组织情况、全员参与落实情况、教学材料规范情况、问题整改落实及资料归档情况。对组织不力、落实不到位、整改滞后、敷衍应付的教学单位予以全校通报批评，并限期整改。</w:t>
      </w:r>
    </w:p>
    <w:p w14:paraId="3A457E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firstLine="546" w:firstLineChars="200"/>
        <w:jc w:val="both"/>
        <w:textAlignment w:val="baseline"/>
        <w:rPr>
          <w:rFonts w:hint="eastAsia" w:ascii="楷体" w:hAnsi="楷体" w:eastAsia="楷体" w:cs="楷体"/>
          <w:b/>
          <w:bCs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</w:pPr>
      <w:r>
        <w:rPr>
          <w:rFonts w:hint="eastAsia" w:ascii="楷体" w:hAnsi="楷体" w:eastAsia="楷体" w:cs="楷体"/>
          <w:b/>
          <w:bCs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  <w:t>（二）完善评优激励</w:t>
      </w:r>
    </w:p>
    <w:p w14:paraId="3D4D7205">
      <w:pPr>
        <w:keepNext w:val="0"/>
        <w:keepLines w:val="0"/>
        <w:pageBreakBefore w:val="0"/>
        <w:wordWrap/>
        <w:overflowPunct/>
        <w:topLinePunct w:val="0"/>
        <w:bidi w:val="0"/>
        <w:spacing w:line="520" w:lineRule="exact"/>
        <w:ind w:firstLine="568" w:firstLineChars="200"/>
        <w:rPr>
          <w:rFonts w:ascii="宋体" w:hAnsi="宋体" w:eastAsia="宋体" w:cs="宋体"/>
          <w:sz w:val="24"/>
          <w:szCs w:val="24"/>
          <w:highlight w:val="yellow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  <w:t>校级“说课程”评比设置一、二、三等奖并颁发荣誉证书，对获奖教师在教学质量评价、教改项目立项、外出培训研修等方面予以适当倾斜，激发教师参与课程建设与教学改革的内生动力。</w:t>
      </w:r>
    </w:p>
    <w:p w14:paraId="60FA82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firstLine="546" w:firstLineChars="200"/>
        <w:jc w:val="both"/>
        <w:textAlignment w:val="baseline"/>
        <w:rPr>
          <w:rFonts w:hint="eastAsia" w:ascii="楷体" w:hAnsi="楷体" w:eastAsia="楷体" w:cs="楷体"/>
          <w:b/>
          <w:bCs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</w:pPr>
      <w:r>
        <w:rPr>
          <w:rFonts w:hint="eastAsia" w:ascii="楷体" w:hAnsi="楷体" w:eastAsia="楷体" w:cs="楷体"/>
          <w:b/>
          <w:bCs/>
          <w:snapToGrid w:val="0"/>
          <w:color w:val="000000"/>
          <w:spacing w:val="-4"/>
          <w:kern w:val="0"/>
          <w:sz w:val="28"/>
          <w:szCs w:val="28"/>
          <w:lang w:eastAsia="en-US"/>
          <w14:ligatures w14:val="none"/>
        </w:rPr>
        <w:t>（三）严格结果考核运用</w:t>
      </w:r>
    </w:p>
    <w:p w14:paraId="616ED2A4">
      <w:pPr>
        <w:keepNext w:val="0"/>
        <w:keepLines w:val="0"/>
        <w:pageBreakBefore w:val="0"/>
        <w:wordWrap/>
        <w:overflowPunct/>
        <w:topLinePunct w:val="0"/>
        <w:bidi w:val="0"/>
        <w:spacing w:line="520" w:lineRule="exact"/>
        <w:ind w:firstLine="568" w:firstLineChars="200"/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</w:pP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  <w:t>教师说课程评价结果纳入年度教学考核、职称评审、评优评先的核心依据。未按要求参与说课程活动、整改复评仍不合格的教师，暂缓年度评优评先资格。</w:t>
      </w:r>
    </w:p>
    <w:p w14:paraId="6E73BC18">
      <w:pPr>
        <w:keepNext w:val="0"/>
        <w:keepLines w:val="0"/>
        <w:pageBreakBefore w:val="0"/>
        <w:wordWrap/>
        <w:overflowPunct/>
        <w:topLinePunct w:val="0"/>
        <w:bidi w:val="0"/>
        <w:spacing w:line="520" w:lineRule="exact"/>
        <w:ind w:firstLine="480" w:firstLineChars="200"/>
        <w:jc w:val="righ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                                                  </w:t>
      </w:r>
    </w:p>
    <w:p w14:paraId="118F1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8" w:firstLineChars="200"/>
        <w:textAlignment w:val="auto"/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</w:pP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  <w:t>附件：1.“说课程”活动评分标准</w:t>
      </w:r>
    </w:p>
    <w:p w14:paraId="1E9ED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420" w:firstLineChars="500"/>
        <w:textAlignment w:val="auto"/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</w:pP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  <w:t>2.“说课程”活动记录表</w:t>
      </w:r>
    </w:p>
    <w:p w14:paraId="6DF5F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420" w:firstLineChars="500"/>
        <w:textAlignment w:val="auto"/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</w:pP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  <w:t>3.“说课程”教师、课程清单</w:t>
      </w:r>
    </w:p>
    <w:p w14:paraId="64F91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420" w:firstLineChars="500"/>
        <w:textAlignment w:val="auto"/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</w:pP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  <w:t>4.优秀“说课程”教师推荐汇总表</w:t>
      </w:r>
    </w:p>
    <w:p w14:paraId="181D038E">
      <w:pPr>
        <w:keepNext w:val="0"/>
        <w:keepLines w:val="0"/>
        <w:pageBreakBefore w:val="0"/>
        <w:wordWrap/>
        <w:overflowPunct/>
        <w:topLinePunct w:val="0"/>
        <w:bidi w:val="0"/>
        <w:spacing w:line="520" w:lineRule="exact"/>
        <w:ind w:firstLine="1420" w:firstLineChars="500"/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</w:pPr>
    </w:p>
    <w:p w14:paraId="0AD34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                                          </w:t>
      </w: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  <w:t xml:space="preserve">       教务处</w:t>
      </w:r>
    </w:p>
    <w:p w14:paraId="0C659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8" w:firstLineChars="200"/>
        <w:textAlignment w:val="auto"/>
        <w:rPr>
          <w:rFonts w:hint="default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</w:pP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  <w:t xml:space="preserve">                                       2026年9月</w:t>
      </w:r>
      <w:r>
        <w:rPr>
          <w:rFonts w:hint="default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  <w:t>27</w:t>
      </w: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28"/>
          <w:szCs w:val="28"/>
          <w:lang w:val="en-US" w:eastAsia="zh-CN" w:bidi="ar-SA"/>
          <w14:ligatures w14:val="none"/>
        </w:rPr>
        <w:t>日</w:t>
      </w:r>
    </w:p>
    <w:p w14:paraId="3200EAB7">
      <w:pPr>
        <w:rPr>
          <w:rFonts w:hint="eastAsia" w:ascii="黑体" w:hAnsi="黑体" w:eastAsia="黑体" w:cs="黑体"/>
          <w:bCs/>
          <w:color w:val="000000"/>
          <w:sz w:val="24"/>
          <w:szCs w:val="24"/>
          <w:lang w:bidi="ar"/>
        </w:rPr>
      </w:pPr>
      <w:r>
        <w:rPr>
          <w:rFonts w:ascii="黑体" w:hAnsi="黑体" w:eastAsia="黑体" w:cs="黑体"/>
          <w:bCs/>
          <w:color w:val="000000"/>
          <w:sz w:val="24"/>
          <w:szCs w:val="24"/>
          <w:lang w:bidi="ar"/>
        </w:rPr>
        <w:br w:type="page"/>
      </w:r>
    </w:p>
    <w:p w14:paraId="390980D9">
      <w:pPr>
        <w:pStyle w:val="12"/>
        <w:widowControl/>
        <w:kinsoku w:val="0"/>
        <w:autoSpaceDE w:val="0"/>
        <w:autoSpaceDN w:val="0"/>
        <w:adjustRightInd w:val="0"/>
        <w:snapToGrid w:val="0"/>
        <w:spacing w:before="318" w:line="222" w:lineRule="auto"/>
        <w:jc w:val="both"/>
        <w:textAlignment w:val="baseline"/>
        <w:rPr>
          <w:rFonts w:hint="eastAsia"/>
          <w:snapToGrid w:val="0"/>
          <w:color w:val="000000"/>
          <w:spacing w:val="9"/>
          <w:kern w:val="0"/>
          <w14:ligatures w14:val="none"/>
        </w:rPr>
      </w:pPr>
      <w:r>
        <w:rPr>
          <w:snapToGrid w:val="0"/>
          <w:color w:val="000000"/>
          <w:spacing w:val="9"/>
          <w:kern w:val="0"/>
          <w14:ligatures w14:val="none"/>
        </w:rPr>
        <w:t>附件1</w:t>
      </w:r>
    </w:p>
    <w:p w14:paraId="0215C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bCs/>
          <w:color w:val="000000"/>
          <w:sz w:val="28"/>
          <w:szCs w:val="28"/>
          <w:lang w:bidi="ar"/>
        </w:rPr>
      </w:pPr>
      <w:r>
        <w:rPr>
          <w:rFonts w:hint="eastAsia" w:ascii="黑体" w:hAnsi="黑体" w:eastAsia="黑体" w:cs="黑体"/>
          <w:bCs/>
          <w:color w:val="000000"/>
          <w:sz w:val="28"/>
          <w:szCs w:val="28"/>
          <w:lang w:bidi="ar"/>
        </w:rPr>
        <w:t>“说课程”活动评分标准</w:t>
      </w:r>
    </w:p>
    <w:tbl>
      <w:tblPr>
        <w:tblStyle w:val="19"/>
        <w:tblpPr w:leftFromText="180" w:rightFromText="180" w:vertAnchor="text" w:horzAnchor="margin" w:tblpX="1" w:tblpY="287"/>
        <w:tblOverlap w:val="never"/>
        <w:tblW w:w="8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6971"/>
        <w:gridCol w:w="599"/>
        <w:gridCol w:w="602"/>
      </w:tblGrid>
      <w:tr w14:paraId="18EC9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439" w:type="pct"/>
            <w:vAlign w:val="center"/>
          </w:tcPr>
          <w:p w14:paraId="060E5E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8"/>
              </w:rPr>
              <w:t>评价指标</w:t>
            </w:r>
          </w:p>
        </w:tc>
        <w:tc>
          <w:tcPr>
            <w:tcW w:w="3889" w:type="pct"/>
            <w:vAlign w:val="center"/>
          </w:tcPr>
          <w:p w14:paraId="7826A9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8"/>
              </w:rPr>
              <w:t>评价参考要点</w:t>
            </w:r>
          </w:p>
        </w:tc>
        <w:tc>
          <w:tcPr>
            <w:tcW w:w="334" w:type="pct"/>
            <w:vAlign w:val="center"/>
          </w:tcPr>
          <w:p w14:paraId="64A486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8"/>
              </w:rPr>
              <w:t>分值</w:t>
            </w:r>
          </w:p>
        </w:tc>
        <w:tc>
          <w:tcPr>
            <w:tcW w:w="335" w:type="pct"/>
            <w:vAlign w:val="center"/>
          </w:tcPr>
          <w:p w14:paraId="24FABB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8"/>
              </w:rPr>
              <w:t>得分</w:t>
            </w:r>
          </w:p>
        </w:tc>
      </w:tr>
      <w:tr w14:paraId="46AEA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439" w:type="pct"/>
            <w:vAlign w:val="center"/>
          </w:tcPr>
          <w:p w14:paraId="45D42A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课程定位</w:t>
            </w:r>
          </w:p>
        </w:tc>
        <w:tc>
          <w:tcPr>
            <w:tcW w:w="3889" w:type="pct"/>
            <w:vAlign w:val="center"/>
          </w:tcPr>
          <w:p w14:paraId="36A8E659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1.课程基础信息规范完整，学时、学分、课程类型、适用专业等要素清晰准确，契合专业人才培养方案要求；</w:t>
            </w:r>
          </w:p>
          <w:p w14:paraId="59AC939D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2.说明课程在专业人才培养方案中的性质、地位、作用；</w:t>
            </w:r>
          </w:p>
          <w:p w14:paraId="76A8F6B7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3.依据前导后续课程的关系、与职业资格和职业标准的关系等，准确阐明课程定位；</w:t>
            </w:r>
          </w:p>
          <w:p w14:paraId="65230FA4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4.紧密对接专业人才培养目标、就业岗位能力标准、课程标准要求，课程定位清晰、不宽泛；</w:t>
            </w:r>
          </w:p>
          <w:p w14:paraId="3ED1E1F6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5.课程定位中能充分体现产教融合、校企合作。</w:t>
            </w:r>
          </w:p>
        </w:tc>
        <w:tc>
          <w:tcPr>
            <w:tcW w:w="334" w:type="pct"/>
            <w:vAlign w:val="center"/>
          </w:tcPr>
          <w:p w14:paraId="465895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</w:t>
            </w:r>
          </w:p>
        </w:tc>
        <w:tc>
          <w:tcPr>
            <w:tcW w:w="335" w:type="pct"/>
            <w:vAlign w:val="center"/>
          </w:tcPr>
          <w:p w14:paraId="25E7AB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2FE1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439" w:type="pct"/>
            <w:vAlign w:val="center"/>
          </w:tcPr>
          <w:p w14:paraId="3C654C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课程设计</w:t>
            </w:r>
          </w:p>
        </w:tc>
        <w:tc>
          <w:tcPr>
            <w:tcW w:w="3889" w:type="pct"/>
            <w:vAlign w:val="center"/>
          </w:tcPr>
          <w:p w14:paraId="70CE24C6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1.课程设计理念新，指导思想明确，符合高职教育理念；</w:t>
            </w:r>
          </w:p>
          <w:p w14:paraId="26E167AE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2.学情分析客观，结合高职学生认知特点、技能基础、职业发展诉求展开分析，不流于形式；</w:t>
            </w:r>
          </w:p>
          <w:p w14:paraId="37E2F658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bCs/>
                <w:color w:val="00000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3.先修后续课程衔接合理，注重</w:t>
            </w:r>
            <w:r>
              <w:rPr>
                <w:rFonts w:hint="default" w:ascii="仿宋" w:hAnsi="仿宋" w:eastAsia="仿宋" w:cs="仿宋"/>
                <w:bCs/>
                <w:color w:val="000000"/>
                <w:szCs w:val="21"/>
                <w:lang w:bidi="ar"/>
              </w:rPr>
              <w:t>职业能力与职业素质培养相融合</w:t>
            </w: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bidi="ar"/>
              </w:rPr>
              <w:t>；</w:t>
            </w:r>
          </w:p>
          <w:p w14:paraId="1FACB6FA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bCs/>
                <w:color w:val="000000"/>
                <w:szCs w:val="21"/>
                <w:lang w:bidi="ar"/>
              </w:rPr>
              <w:t>4.深度开展校企合作共建课程，立足真实岗位工作场景设计教学体系，充分凸显高职课程职业性、实践性、开放性、应用性核心特征。</w:t>
            </w:r>
          </w:p>
        </w:tc>
        <w:tc>
          <w:tcPr>
            <w:tcW w:w="334" w:type="pct"/>
            <w:vAlign w:val="center"/>
          </w:tcPr>
          <w:p w14:paraId="108B530E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</w:t>
            </w:r>
          </w:p>
        </w:tc>
        <w:tc>
          <w:tcPr>
            <w:tcW w:w="335" w:type="pct"/>
            <w:vAlign w:val="center"/>
          </w:tcPr>
          <w:p w14:paraId="0AD271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24ECC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439" w:type="pct"/>
            <w:vAlign w:val="center"/>
          </w:tcPr>
          <w:p w14:paraId="700930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课程目标</w:t>
            </w:r>
          </w:p>
        </w:tc>
        <w:tc>
          <w:tcPr>
            <w:tcW w:w="3889" w:type="pct"/>
            <w:vAlign w:val="center"/>
          </w:tcPr>
          <w:p w14:paraId="5D9BDF29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1.分析教学目标与职业岗位的一致性，阐明课程总体目标符合学生个人发展需要和高职人才培养要求；</w:t>
            </w:r>
          </w:p>
          <w:p w14:paraId="39427D72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2.准确、规范地描述课程知识、能力、素质目标，表述规范、具体可测；</w:t>
            </w:r>
          </w:p>
          <w:p w14:paraId="26DF49AD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3.课程目标要包含思政目标，有机融入，避免生硬嫁接。</w:t>
            </w:r>
          </w:p>
        </w:tc>
        <w:tc>
          <w:tcPr>
            <w:tcW w:w="334" w:type="pct"/>
            <w:vAlign w:val="center"/>
          </w:tcPr>
          <w:p w14:paraId="3D2566D7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</w:t>
            </w:r>
          </w:p>
        </w:tc>
        <w:tc>
          <w:tcPr>
            <w:tcW w:w="335" w:type="pct"/>
            <w:vAlign w:val="center"/>
          </w:tcPr>
          <w:p w14:paraId="46358F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1FD4F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  <w:jc w:val="center"/>
        </w:trPr>
        <w:tc>
          <w:tcPr>
            <w:tcW w:w="439" w:type="pct"/>
            <w:vAlign w:val="center"/>
          </w:tcPr>
          <w:p w14:paraId="69792A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课程内容</w:t>
            </w:r>
          </w:p>
        </w:tc>
        <w:tc>
          <w:tcPr>
            <w:tcW w:w="3889" w:type="pct"/>
            <w:vAlign w:val="center"/>
          </w:tcPr>
          <w:p w14:paraId="1C2FDE9C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1.结合技术领域和职业岗位群要求及相应职业资格标准，合理重构任务模块，阐述框架结构和逻辑关系，课程内容选取体现“岗课赛证”融通；</w:t>
            </w:r>
          </w:p>
          <w:p w14:paraId="3D54AD01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2.课程内容贴合职业岗位技能需求，反映真实工作任务和工作过程，根据产业发展及时更新课程内容情况以及应用新技术、新标准、新工艺、新方法；</w:t>
            </w:r>
          </w:p>
          <w:p w14:paraId="6F1234EC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3.知识点和技能点明确，有助于课程目标的达成；</w:t>
            </w:r>
          </w:p>
          <w:p w14:paraId="1E1A9CE4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4.教学重点、难点分析透彻，依据充分。</w:t>
            </w:r>
          </w:p>
        </w:tc>
        <w:tc>
          <w:tcPr>
            <w:tcW w:w="334" w:type="pct"/>
            <w:vAlign w:val="center"/>
          </w:tcPr>
          <w:p w14:paraId="21ACC90A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</w:t>
            </w:r>
          </w:p>
        </w:tc>
        <w:tc>
          <w:tcPr>
            <w:tcW w:w="335" w:type="pct"/>
            <w:vAlign w:val="center"/>
          </w:tcPr>
          <w:p w14:paraId="10385F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2C5AA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  <w:jc w:val="center"/>
        </w:trPr>
        <w:tc>
          <w:tcPr>
            <w:tcW w:w="439" w:type="pct"/>
            <w:vAlign w:val="center"/>
          </w:tcPr>
          <w:p w14:paraId="6967E4D8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教学实施</w:t>
            </w:r>
          </w:p>
        </w:tc>
        <w:tc>
          <w:tcPr>
            <w:tcW w:w="3889" w:type="pct"/>
            <w:vAlign w:val="center"/>
          </w:tcPr>
          <w:p w14:paraId="6176EE4C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1.以工学结合、行动导向为切入点，创新教学方法，体现“教、学、做、练、创、评”一体化的教学模式；</w:t>
            </w:r>
          </w:p>
          <w:p w14:paraId="2E786130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" w:hAnsi="仿宋" w:eastAsia="仿宋" w:cs="仿宋"/>
                <w:bCs/>
                <w:color w:val="auto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Cs w:val="21"/>
                <w:highlight w:val="none"/>
                <w:lang w:bidi="ar"/>
              </w:rPr>
              <w:t>2.</w:t>
            </w:r>
            <w:r>
              <w:rPr>
                <w:rFonts w:hint="default" w:ascii="仿宋" w:hAnsi="仿宋" w:eastAsia="仿宋" w:cs="仿宋"/>
                <w:bCs/>
                <w:color w:val="auto"/>
                <w:szCs w:val="21"/>
                <w:highlight w:val="none"/>
                <w:lang w:bidi="ar"/>
              </w:rPr>
              <w:t>教学过程中灵活采用项目式、案例式、探究式、情境式等教学方法，引导学生积极思考、乐于实践，提高教、学效果</w:t>
            </w:r>
            <w:r>
              <w:rPr>
                <w:rFonts w:hint="eastAsia" w:ascii="仿宋" w:hAnsi="仿宋" w:eastAsia="仿宋" w:cs="仿宋"/>
                <w:bCs/>
                <w:color w:val="auto"/>
                <w:szCs w:val="21"/>
                <w:highlight w:val="none"/>
                <w:lang w:bidi="ar"/>
              </w:rPr>
              <w:t>；</w:t>
            </w:r>
          </w:p>
          <w:p w14:paraId="18DB18AE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3.运用成熟的教学策略，使教学重点突出、难点分散，有利于培养学生创新精神；</w:t>
            </w:r>
          </w:p>
          <w:p w14:paraId="552F57FD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4.合理应用数字化教学手段，包括虚拟现实、仿真教学、线上教学平台等技术工具，赋能课堂教学，提升教学实效。</w:t>
            </w:r>
          </w:p>
        </w:tc>
        <w:tc>
          <w:tcPr>
            <w:tcW w:w="334" w:type="pct"/>
            <w:vAlign w:val="center"/>
          </w:tcPr>
          <w:p w14:paraId="21B6C42E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</w:t>
            </w:r>
          </w:p>
        </w:tc>
        <w:tc>
          <w:tcPr>
            <w:tcW w:w="335" w:type="pct"/>
            <w:vAlign w:val="center"/>
          </w:tcPr>
          <w:p w14:paraId="0CC2EA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DA80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439" w:type="pct"/>
            <w:vAlign w:val="center"/>
          </w:tcPr>
          <w:p w14:paraId="745FBA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教学资源</w:t>
            </w:r>
          </w:p>
        </w:tc>
        <w:tc>
          <w:tcPr>
            <w:tcW w:w="3889" w:type="pct"/>
            <w:vAlign w:val="center"/>
          </w:tcPr>
          <w:p w14:paraId="3E1E084E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" w:hAnsi="仿宋" w:eastAsia="仿宋" w:cs="仿宋"/>
                <w:bCs/>
                <w:color w:val="00000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bidi="ar"/>
              </w:rPr>
              <w:t>1.</w:t>
            </w:r>
            <w:r>
              <w:rPr>
                <w:rFonts w:hint="default" w:ascii="仿宋" w:hAnsi="仿宋" w:eastAsia="仿宋" w:cs="仿宋"/>
                <w:bCs/>
                <w:color w:val="000000"/>
                <w:szCs w:val="21"/>
                <w:lang w:bidi="ar"/>
              </w:rPr>
              <w:t>校内实训场所</w:t>
            </w: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bidi="ar"/>
              </w:rPr>
              <w:t>应</w:t>
            </w:r>
            <w:r>
              <w:rPr>
                <w:rFonts w:hint="default" w:ascii="仿宋" w:hAnsi="仿宋" w:eastAsia="仿宋" w:cs="仿宋"/>
                <w:bCs/>
                <w:color w:val="000000"/>
                <w:szCs w:val="21"/>
                <w:lang w:bidi="ar"/>
              </w:rPr>
              <w:t>满足课程实践教学的需要，设施设备利用率高</w:t>
            </w: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bidi="ar"/>
              </w:rPr>
              <w:t>；</w:t>
            </w:r>
          </w:p>
          <w:p w14:paraId="7CE7BBE7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bidi="ar"/>
              </w:rPr>
              <w:t>2.校外实习资源</w:t>
            </w:r>
            <w:r>
              <w:rPr>
                <w:rFonts w:hint="default" w:ascii="仿宋" w:hAnsi="仿宋" w:eastAsia="仿宋" w:cs="仿宋"/>
                <w:bCs/>
                <w:color w:val="000000"/>
                <w:szCs w:val="21"/>
                <w:lang w:bidi="ar"/>
              </w:rPr>
              <w:t>布点合理，为课程的实践教学提供真实的工作环境，能够满足学生了解企业实际、体验企业文化的需要</w:t>
            </w: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bidi="ar"/>
              </w:rPr>
              <w:t>；</w:t>
            </w:r>
          </w:p>
          <w:p w14:paraId="0AAB12EE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bidi="ar"/>
              </w:rPr>
              <w:t>3.</w:t>
            </w:r>
            <w:r>
              <w:rPr>
                <w:rFonts w:hint="default" w:ascii="仿宋" w:hAnsi="仿宋" w:eastAsia="仿宋" w:cs="仿宋"/>
                <w:bCs/>
                <w:color w:val="000000"/>
                <w:szCs w:val="21"/>
                <w:lang w:bidi="ar"/>
              </w:rPr>
              <w:t>选用规划教材</w:t>
            </w: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bidi="ar"/>
              </w:rPr>
              <w:t>，</w:t>
            </w:r>
            <w:r>
              <w:rPr>
                <w:rFonts w:hint="eastAsia" w:ascii="仿宋" w:hAnsi="仿宋" w:eastAsia="仿宋" w:cs="仿宋"/>
                <w:szCs w:val="21"/>
              </w:rPr>
              <w:t>合理开发及利用教材；</w:t>
            </w:r>
          </w:p>
          <w:p w14:paraId="6B019EE0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Cs w:val="21"/>
                <w:lang w:bidi="ar"/>
              </w:rPr>
              <w:t>4.</w:t>
            </w:r>
            <w:r>
              <w:rPr>
                <w:rFonts w:hint="default" w:ascii="仿宋" w:hAnsi="仿宋" w:eastAsia="仿宋" w:cs="仿宋"/>
                <w:bCs/>
                <w:color w:val="000000"/>
                <w:szCs w:val="21"/>
                <w:lang w:bidi="ar"/>
              </w:rPr>
              <w:t>课件、案例、习题、实训实习项目、教学视频等教学相关资料齐全，符合课程设计要求，满足课程线上线下教学需要。</w:t>
            </w:r>
          </w:p>
        </w:tc>
        <w:tc>
          <w:tcPr>
            <w:tcW w:w="334" w:type="pct"/>
            <w:vAlign w:val="center"/>
          </w:tcPr>
          <w:p w14:paraId="678E3765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</w:t>
            </w:r>
          </w:p>
        </w:tc>
        <w:tc>
          <w:tcPr>
            <w:tcW w:w="335" w:type="pct"/>
            <w:vAlign w:val="center"/>
          </w:tcPr>
          <w:p w14:paraId="09B1DA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2B369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439" w:type="pct"/>
            <w:vAlign w:val="center"/>
          </w:tcPr>
          <w:p w14:paraId="1DAE6E0B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21"/>
              </w:rPr>
              <w:t>考核评价</w:t>
            </w:r>
          </w:p>
        </w:tc>
        <w:tc>
          <w:tcPr>
            <w:tcW w:w="3889" w:type="pct"/>
            <w:vAlign w:val="center"/>
          </w:tcPr>
          <w:p w14:paraId="227DAEAE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</w:t>
            </w:r>
            <w:r>
              <w:rPr>
                <w:rFonts w:hint="default" w:ascii="仿宋" w:hAnsi="仿宋" w:eastAsia="仿宋" w:cs="仿宋"/>
                <w:szCs w:val="21"/>
              </w:rPr>
              <w:t>课程考核符合职业教育学生特点，</w:t>
            </w:r>
            <w:r>
              <w:rPr>
                <w:rFonts w:hint="eastAsia" w:ascii="仿宋" w:hAnsi="仿宋" w:eastAsia="仿宋" w:cs="仿宋"/>
                <w:szCs w:val="21"/>
              </w:rPr>
              <w:t>方式合理、灵活、恰当，</w:t>
            </w:r>
            <w:r>
              <w:rPr>
                <w:rFonts w:hint="default" w:ascii="仿宋" w:hAnsi="仿宋" w:eastAsia="仿宋" w:cs="仿宋"/>
                <w:szCs w:val="21"/>
              </w:rPr>
              <w:t>注重过程性考核和</w:t>
            </w:r>
            <w:r>
              <w:rPr>
                <w:rFonts w:hint="eastAsia" w:ascii="仿宋" w:hAnsi="仿宋" w:eastAsia="仿宋" w:cs="仿宋"/>
                <w:szCs w:val="21"/>
              </w:rPr>
              <w:t>终结</w:t>
            </w:r>
            <w:r>
              <w:rPr>
                <w:rFonts w:hint="default" w:ascii="仿宋" w:hAnsi="仿宋" w:eastAsia="仿宋" w:cs="仿宋"/>
                <w:szCs w:val="21"/>
              </w:rPr>
              <w:t>性考核相结合</w:t>
            </w:r>
            <w:r>
              <w:rPr>
                <w:rFonts w:hint="eastAsia" w:ascii="仿宋" w:hAnsi="仿宋" w:eastAsia="仿宋" w:cs="仿宋"/>
                <w:szCs w:val="21"/>
              </w:rPr>
              <w:t>；</w:t>
            </w:r>
          </w:p>
          <w:p w14:paraId="7AACC6A7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" w:hAnsi="仿宋" w:eastAsia="仿宋"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2.课程评价围绕能力和素质要求，评价体现多元性，强化过程评价，探索增值评价，健全综合评价。</w:t>
            </w:r>
          </w:p>
        </w:tc>
        <w:tc>
          <w:tcPr>
            <w:tcW w:w="334" w:type="pct"/>
            <w:vAlign w:val="center"/>
          </w:tcPr>
          <w:p w14:paraId="35242A67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</w:t>
            </w:r>
          </w:p>
        </w:tc>
        <w:tc>
          <w:tcPr>
            <w:tcW w:w="335" w:type="pct"/>
            <w:vAlign w:val="center"/>
          </w:tcPr>
          <w:p w14:paraId="6EB2E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5BB2B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439" w:type="pct"/>
            <w:vAlign w:val="center"/>
          </w:tcPr>
          <w:p w14:paraId="478F2FEF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/>
                <w:bCs/>
                <w:color w:val="000000"/>
                <w:szCs w:val="21"/>
              </w:rPr>
            </w:pPr>
            <w:r>
              <w:rPr>
                <w:rFonts w:hint="default" w:ascii="仿宋" w:hAnsi="仿宋" w:eastAsia="仿宋"/>
                <w:bCs/>
                <w:color w:val="000000"/>
                <w:szCs w:val="21"/>
              </w:rPr>
              <w:t>教学成效</w:t>
            </w:r>
          </w:p>
        </w:tc>
        <w:tc>
          <w:tcPr>
            <w:tcW w:w="3889" w:type="pct"/>
            <w:vAlign w:val="center"/>
          </w:tcPr>
          <w:p w14:paraId="53C223A1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" w:hAnsi="仿宋" w:eastAsia="仿宋"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21"/>
              </w:rPr>
              <w:t>1.</w:t>
            </w:r>
            <w:r>
              <w:rPr>
                <w:rFonts w:hint="default" w:ascii="仿宋" w:hAnsi="仿宋" w:eastAsia="仿宋"/>
                <w:bCs/>
                <w:color w:val="000000"/>
                <w:szCs w:val="21"/>
              </w:rPr>
              <w:t>往期教学目标完成度高，教学任务落地，各维度课程目标达成效果良好；</w:t>
            </w:r>
          </w:p>
          <w:p w14:paraId="3AB4B58D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" w:hAnsi="仿宋" w:eastAsia="仿宋"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21"/>
              </w:rPr>
              <w:t>2.</w:t>
            </w:r>
            <w:r>
              <w:rPr>
                <w:rFonts w:hint="default" w:ascii="仿宋" w:hAnsi="仿宋" w:eastAsia="仿宋"/>
                <w:bCs/>
                <w:color w:val="000000"/>
                <w:szCs w:val="21"/>
              </w:rPr>
              <w:t>有可量化的成果（如竞赛获奖、证书通过率提升、作品应用等）；</w:t>
            </w:r>
          </w:p>
          <w:p w14:paraId="07A60719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仿宋" w:hAnsi="仿宋" w:eastAsia="仿宋"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21"/>
              </w:rPr>
              <w:t>3.</w:t>
            </w:r>
            <w:r>
              <w:rPr>
                <w:rFonts w:hint="default" w:ascii="仿宋" w:hAnsi="仿宋" w:eastAsia="仿宋"/>
                <w:bCs/>
                <w:color w:val="000000"/>
                <w:szCs w:val="21"/>
              </w:rPr>
              <w:t>课程建设与改革形成特色亮点，有可推广</w:t>
            </w:r>
            <w:r>
              <w:rPr>
                <w:rFonts w:hint="eastAsia" w:ascii="仿宋" w:hAnsi="仿宋" w:eastAsia="仿宋"/>
                <w:bCs/>
                <w:color w:val="000000"/>
                <w:szCs w:val="21"/>
              </w:rPr>
              <w:t>的</w:t>
            </w:r>
            <w:r>
              <w:rPr>
                <w:rFonts w:hint="default" w:ascii="仿宋" w:hAnsi="仿宋" w:eastAsia="仿宋"/>
                <w:bCs/>
                <w:color w:val="000000"/>
                <w:szCs w:val="21"/>
              </w:rPr>
              <w:t>经验。</w:t>
            </w:r>
          </w:p>
        </w:tc>
        <w:tc>
          <w:tcPr>
            <w:tcW w:w="334" w:type="pct"/>
            <w:vAlign w:val="center"/>
          </w:tcPr>
          <w:p w14:paraId="30024713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Cs/>
                <w:color w:val="000000"/>
                <w:szCs w:val="21"/>
              </w:rPr>
              <w:t>10</w:t>
            </w:r>
          </w:p>
        </w:tc>
        <w:tc>
          <w:tcPr>
            <w:tcW w:w="335" w:type="pct"/>
            <w:vAlign w:val="center"/>
          </w:tcPr>
          <w:p w14:paraId="456B27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B6BD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439" w:type="pct"/>
            <w:vAlign w:val="center"/>
          </w:tcPr>
          <w:p w14:paraId="57763B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现场表现</w:t>
            </w:r>
          </w:p>
        </w:tc>
        <w:tc>
          <w:tcPr>
            <w:tcW w:w="3889" w:type="pct"/>
            <w:vAlign w:val="center"/>
          </w:tcPr>
          <w:p w14:paraId="42F7A081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1.说课程思路清晰、逻辑性强；</w:t>
            </w:r>
          </w:p>
          <w:p w14:paraId="7FDF5A77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2.语言表达好，简洁、生动；</w:t>
            </w:r>
          </w:p>
          <w:p w14:paraId="22129FC7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3.教态自然，仪表大方、得体；</w:t>
            </w:r>
          </w:p>
          <w:p w14:paraId="7CE72BD1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4.说课程准备充分，内容无误；</w:t>
            </w:r>
          </w:p>
          <w:p w14:paraId="0F709664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5.时间准确，节奏把握好。</w:t>
            </w:r>
          </w:p>
        </w:tc>
        <w:tc>
          <w:tcPr>
            <w:tcW w:w="334" w:type="pct"/>
            <w:vAlign w:val="center"/>
          </w:tcPr>
          <w:p w14:paraId="164D6E45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</w:t>
            </w:r>
          </w:p>
        </w:tc>
        <w:tc>
          <w:tcPr>
            <w:tcW w:w="335" w:type="pct"/>
            <w:vAlign w:val="center"/>
          </w:tcPr>
          <w:p w14:paraId="548491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56FE6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439" w:type="pct"/>
            <w:vAlign w:val="center"/>
          </w:tcPr>
          <w:p w14:paraId="0C3EB3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PPT</w:t>
            </w:r>
          </w:p>
          <w:p w14:paraId="275820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效果</w:t>
            </w:r>
          </w:p>
        </w:tc>
        <w:tc>
          <w:tcPr>
            <w:tcW w:w="3889" w:type="pct"/>
            <w:vAlign w:val="center"/>
          </w:tcPr>
          <w:p w14:paraId="5BD01EDB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1.内容丰富，重点突出；</w:t>
            </w:r>
          </w:p>
          <w:p w14:paraId="78732EFF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2.版面设计美观，能充分利用多种形式表达，具有良好的视觉效果。 </w:t>
            </w:r>
          </w:p>
        </w:tc>
        <w:tc>
          <w:tcPr>
            <w:tcW w:w="334" w:type="pct"/>
            <w:vAlign w:val="center"/>
          </w:tcPr>
          <w:p w14:paraId="7EA117E0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</w:t>
            </w:r>
          </w:p>
        </w:tc>
        <w:tc>
          <w:tcPr>
            <w:tcW w:w="335" w:type="pct"/>
            <w:vAlign w:val="center"/>
          </w:tcPr>
          <w:p w14:paraId="6E0773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F03A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4329" w:type="pct"/>
            <w:gridSpan w:val="2"/>
            <w:vAlign w:val="center"/>
          </w:tcPr>
          <w:p w14:paraId="22BB4CE3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总分</w:t>
            </w:r>
          </w:p>
        </w:tc>
        <w:tc>
          <w:tcPr>
            <w:tcW w:w="670" w:type="pct"/>
            <w:gridSpan w:val="2"/>
            <w:vAlign w:val="center"/>
          </w:tcPr>
          <w:p w14:paraId="2296B3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</w:tbl>
    <w:p w14:paraId="52CC50F9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 w14:paraId="2BC2C2C9">
      <w:pPr>
        <w:spacing w:line="480" w:lineRule="auto"/>
        <w:jc w:val="center"/>
        <w:rPr>
          <w:rFonts w:hint="eastAsia" w:ascii="黑体" w:hAnsi="宋体" w:eastAsia="黑体" w:cs="黑体"/>
          <w:color w:val="000000"/>
          <w:sz w:val="32"/>
          <w:szCs w:val="32"/>
          <w:lang w:bidi="ar"/>
        </w:rPr>
      </w:pPr>
    </w:p>
    <w:p w14:paraId="2BE976CB">
      <w:pPr>
        <w:spacing w:line="480" w:lineRule="auto"/>
        <w:jc w:val="center"/>
        <w:rPr>
          <w:rFonts w:hint="eastAsia" w:ascii="黑体" w:hAnsi="宋体" w:eastAsia="黑体" w:cs="黑体"/>
          <w:color w:val="000000"/>
          <w:sz w:val="32"/>
          <w:szCs w:val="32"/>
          <w:lang w:bidi="ar"/>
        </w:rPr>
      </w:pPr>
    </w:p>
    <w:p w14:paraId="3C592946">
      <w:pPr>
        <w:spacing w:line="480" w:lineRule="auto"/>
        <w:jc w:val="center"/>
        <w:rPr>
          <w:rFonts w:hint="eastAsia" w:ascii="黑体" w:hAnsi="宋体" w:eastAsia="黑体" w:cs="黑体"/>
          <w:color w:val="000000"/>
          <w:sz w:val="32"/>
          <w:szCs w:val="32"/>
          <w:lang w:bidi="ar"/>
        </w:rPr>
      </w:pPr>
    </w:p>
    <w:p w14:paraId="309BDEA7">
      <w:pPr>
        <w:rPr>
          <w:rFonts w:hint="eastAsia" w:ascii="黑体" w:hAnsi="宋体" w:eastAsia="黑体" w:cs="黑体"/>
          <w:color w:val="000000"/>
          <w:sz w:val="32"/>
          <w:szCs w:val="32"/>
          <w:lang w:bidi="ar"/>
        </w:rPr>
      </w:pPr>
      <w:r>
        <w:rPr>
          <w:rFonts w:ascii="黑体" w:hAnsi="宋体" w:eastAsia="黑体" w:cs="黑体"/>
          <w:color w:val="000000"/>
          <w:sz w:val="32"/>
          <w:szCs w:val="32"/>
          <w:lang w:bidi="ar"/>
        </w:rPr>
        <w:br w:type="page"/>
      </w:r>
    </w:p>
    <w:p w14:paraId="208ACB6F">
      <w:pPr>
        <w:pStyle w:val="12"/>
        <w:widowControl/>
        <w:kinsoku w:val="0"/>
        <w:autoSpaceDE w:val="0"/>
        <w:autoSpaceDN w:val="0"/>
        <w:adjustRightInd w:val="0"/>
        <w:snapToGrid w:val="0"/>
        <w:spacing w:before="318" w:line="222" w:lineRule="auto"/>
        <w:jc w:val="both"/>
        <w:textAlignment w:val="baseline"/>
        <w:rPr>
          <w:rFonts w:hint="eastAsia"/>
          <w:snapToGrid w:val="0"/>
          <w:color w:val="000000"/>
          <w:spacing w:val="9"/>
          <w:kern w:val="0"/>
          <w14:ligatures w14:val="none"/>
        </w:rPr>
      </w:pPr>
      <w:r>
        <w:rPr>
          <w:snapToGrid w:val="0"/>
          <w:color w:val="000000"/>
          <w:spacing w:val="9"/>
          <w:kern w:val="0"/>
          <w14:ligatures w14:val="none"/>
        </w:rPr>
        <w:t>附件2</w:t>
      </w:r>
    </w:p>
    <w:p w14:paraId="71F6D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20" w:lineRule="exact"/>
        <w:jc w:val="center"/>
        <w:textAlignment w:val="auto"/>
        <w:rPr>
          <w:rFonts w:hint="eastAsia" w:ascii="黑体" w:hAnsi="黑体" w:eastAsia="黑体" w:cs="黑体"/>
          <w:bCs/>
          <w:color w:val="000000"/>
          <w:sz w:val="28"/>
          <w:szCs w:val="28"/>
          <w:lang w:bidi="ar"/>
        </w:rPr>
      </w:pPr>
      <w:r>
        <w:rPr>
          <w:rFonts w:hint="eastAsia" w:ascii="黑体" w:hAnsi="黑体" w:eastAsia="黑体" w:cs="黑体"/>
          <w:bCs/>
          <w:color w:val="000000"/>
          <w:sz w:val="28"/>
          <w:szCs w:val="28"/>
          <w:lang w:bidi="ar"/>
        </w:rPr>
        <w:t>“说课程”活动记录表</w:t>
      </w:r>
    </w:p>
    <w:tbl>
      <w:tblPr>
        <w:tblStyle w:val="18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58"/>
        <w:gridCol w:w="2395"/>
        <w:gridCol w:w="943"/>
        <w:gridCol w:w="207"/>
        <w:gridCol w:w="957"/>
        <w:gridCol w:w="624"/>
        <w:gridCol w:w="1253"/>
        <w:gridCol w:w="132"/>
        <w:gridCol w:w="655"/>
        <w:gridCol w:w="692"/>
      </w:tblGrid>
      <w:tr w14:paraId="3A282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83FC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课程名称</w:t>
            </w:r>
          </w:p>
        </w:tc>
        <w:tc>
          <w:tcPr>
            <w:tcW w:w="13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35D5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</w:p>
        </w:tc>
        <w:tc>
          <w:tcPr>
            <w:tcW w:w="63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3AB8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说课程</w:t>
            </w:r>
          </w:p>
          <w:p w14:paraId="4017A4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教师</w:t>
            </w:r>
          </w:p>
        </w:tc>
        <w:tc>
          <w:tcPr>
            <w:tcW w:w="87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D254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</w:p>
        </w:tc>
        <w:tc>
          <w:tcPr>
            <w:tcW w:w="6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3D8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教师职称</w:t>
            </w:r>
          </w:p>
        </w:tc>
        <w:tc>
          <w:tcPr>
            <w:tcW w:w="81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45F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</w:p>
        </w:tc>
      </w:tr>
      <w:tr w14:paraId="61F0D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0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0797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课程属性</w:t>
            </w:r>
          </w:p>
        </w:tc>
        <w:tc>
          <w:tcPr>
            <w:tcW w:w="185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6026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□公共基础课 □专业基础课</w:t>
            </w:r>
          </w:p>
          <w:p w14:paraId="3B478A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□专业核心课 □专业拓展课</w:t>
            </w:r>
          </w:p>
        </w:tc>
        <w:tc>
          <w:tcPr>
            <w:tcW w:w="64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7828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课程类型</w:t>
            </w:r>
          </w:p>
        </w:tc>
        <w:tc>
          <w:tcPr>
            <w:tcW w:w="185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CA33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□理论课 □理实一体化课</w:t>
            </w:r>
          </w:p>
          <w:p w14:paraId="44B59A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□实践课</w:t>
            </w:r>
          </w:p>
        </w:tc>
      </w:tr>
      <w:tr w14:paraId="35534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0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69FA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课程</w:t>
            </w:r>
          </w:p>
          <w:p w14:paraId="7CA672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所在专业</w:t>
            </w:r>
          </w:p>
        </w:tc>
        <w:tc>
          <w:tcPr>
            <w:tcW w:w="13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99A0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</w:p>
        </w:tc>
        <w:tc>
          <w:tcPr>
            <w:tcW w:w="63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BB89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说课程</w:t>
            </w:r>
          </w:p>
          <w:p w14:paraId="13D67B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时间</w:t>
            </w:r>
          </w:p>
        </w:tc>
        <w:tc>
          <w:tcPr>
            <w:tcW w:w="87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2006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</w:p>
        </w:tc>
        <w:tc>
          <w:tcPr>
            <w:tcW w:w="6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68A9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说课程</w:t>
            </w:r>
          </w:p>
          <w:p w14:paraId="541D91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  <w14:ligatures w14:val="standardContextual"/>
                <w:woUserID w:val="1"/>
              </w:rPr>
              <w:t>地点</w:t>
            </w:r>
          </w:p>
        </w:tc>
        <w:tc>
          <w:tcPr>
            <w:tcW w:w="81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9ACE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highlight w:val="none"/>
                <w:woUserID w:val="1"/>
              </w:rPr>
            </w:pPr>
            <w:bookmarkStart w:id="1" w:name="_GoBack"/>
            <w:bookmarkEnd w:id="1"/>
          </w:p>
        </w:tc>
      </w:tr>
      <w:tr w14:paraId="760A7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5" w:hRule="atLeast"/>
          <w:jc w:val="center"/>
        </w:trPr>
        <w:tc>
          <w:tcPr>
            <w:tcW w:w="5000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9D46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  <w14:ligatures w14:val="standardContextual"/>
                <w:woUserID w:val="1"/>
              </w:rPr>
              <w:t>课程评价</w:t>
            </w:r>
          </w:p>
        </w:tc>
      </w:tr>
      <w:tr w14:paraId="643CB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5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C0FC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  <w14:ligatures w14:val="standardContextual"/>
                <w:woUserID w:val="1"/>
              </w:rPr>
              <w:t>评价指标</w:t>
            </w:r>
          </w:p>
        </w:tc>
        <w:tc>
          <w:tcPr>
            <w:tcW w:w="3611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689D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  <w14:ligatures w14:val="standardContextual"/>
                <w:woUserID w:val="1"/>
              </w:rPr>
              <w:t>评价参考要点</w:t>
            </w: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098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  <w14:ligatures w14:val="standardContextual"/>
                <w:woUserID w:val="1"/>
              </w:rPr>
              <w:t>分值</w:t>
            </w:r>
          </w:p>
        </w:tc>
        <w:tc>
          <w:tcPr>
            <w:tcW w:w="3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389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woUserID w:val="1"/>
              </w:rPr>
            </w:pPr>
            <w:r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"/>
                <w14:ligatures w14:val="standardContextual"/>
                <w:woUserID w:val="1"/>
              </w:rPr>
              <w:t>得分</w:t>
            </w:r>
          </w:p>
        </w:tc>
      </w:tr>
      <w:tr w14:paraId="4F828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80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4B26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14:ligatures w14:val="standardContextual"/>
                <w:woUserID w:val="1"/>
              </w:rPr>
              <w:t>课程定位</w:t>
            </w:r>
          </w:p>
        </w:tc>
        <w:tc>
          <w:tcPr>
            <w:tcW w:w="3611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B4FBE2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1.课程基础信息规范完整，学时、学分、课程类型、适用专业等要素清晰准确，契合专业人才培养方案要求；</w:t>
            </w:r>
          </w:p>
          <w:p w14:paraId="57E25C9E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2.说明课程在专业人才培养方案中的性质、地位、作用；</w:t>
            </w:r>
          </w:p>
          <w:p w14:paraId="16B81F4A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3.依据前导后续课程的关系、与职业资格和职业标准的关系等，准确阐明课程定位；</w:t>
            </w:r>
          </w:p>
          <w:p w14:paraId="58BA5B3D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4.紧密对接专业人才培养目标、就业岗位能力标准、课程标准要求，课程定位清晰、不宽泛；</w:t>
            </w:r>
          </w:p>
          <w:p w14:paraId="640A28DF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5.课程定位中能充分体现体现产教融合、校企合作。</w:t>
            </w: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605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14:ligatures w14:val="standardContextual"/>
                <w:woUserID w:val="1"/>
              </w:rPr>
              <w:t>10</w:t>
            </w:r>
          </w:p>
        </w:tc>
        <w:tc>
          <w:tcPr>
            <w:tcW w:w="3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D9D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</w:p>
        </w:tc>
      </w:tr>
      <w:tr w14:paraId="2470D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5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C2C6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14:ligatures w14:val="standardContextual"/>
                <w:woUserID w:val="1"/>
              </w:rPr>
              <w:t>课程设计</w:t>
            </w:r>
          </w:p>
        </w:tc>
        <w:tc>
          <w:tcPr>
            <w:tcW w:w="3611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92A3BF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1.课程设计理念新，指导思想明确，符合高职教育理念；</w:t>
            </w:r>
          </w:p>
          <w:p w14:paraId="4D168BED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2.学情分析客观，结合高职学生认知特点、技能基础、职业发展诉求展开分析，不流于形式；</w:t>
            </w:r>
          </w:p>
          <w:p w14:paraId="117355E2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3.先修后续课程衔接合理，注重职业能力与职业素质培养相融合；</w:t>
            </w:r>
          </w:p>
          <w:p w14:paraId="26EEFFA0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4.深度开展校企合作共建课程，立足真实岗位工作场景设计教学体系，充分凸显高职课程职业性、实践性、开放性、应用性核心特征。</w:t>
            </w: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B30C4">
            <w:pPr>
              <w:pStyle w:val="16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1" w:after="0" w:afterAutospacing="1"/>
              <w:ind w:left="0" w:right="0"/>
              <w:contextualSpacing w:val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:woUserID w:val="1"/>
              </w:rPr>
              <w:t>10</w:t>
            </w:r>
          </w:p>
        </w:tc>
        <w:tc>
          <w:tcPr>
            <w:tcW w:w="3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CEF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</w:p>
        </w:tc>
      </w:tr>
      <w:tr w14:paraId="62BCB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5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5D78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14:ligatures w14:val="standardContextual"/>
                <w:woUserID w:val="1"/>
              </w:rPr>
              <w:t>课程目标</w:t>
            </w:r>
          </w:p>
        </w:tc>
        <w:tc>
          <w:tcPr>
            <w:tcW w:w="3611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EAE68C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1.分析教学目标与职业岗位的一致性，阐明课程总体目标符合学生个人发展需要和高职人才培养要求；</w:t>
            </w:r>
          </w:p>
          <w:p w14:paraId="457B9CBC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2.准确、规范地描述课程知识、能力、素质目标，表述规范、具体可测；</w:t>
            </w:r>
          </w:p>
          <w:p w14:paraId="75BA5D4B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3.课程目标要包含思政目标，有机融入，避免生硬嫁接。</w:t>
            </w: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C0425">
            <w:pPr>
              <w:pStyle w:val="16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1" w:after="0" w:afterAutospacing="1"/>
              <w:ind w:left="0" w:right="0"/>
              <w:contextualSpacing w:val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:woUserID w:val="1"/>
              </w:rPr>
              <w:t>10</w:t>
            </w:r>
          </w:p>
        </w:tc>
        <w:tc>
          <w:tcPr>
            <w:tcW w:w="3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768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</w:p>
        </w:tc>
      </w:tr>
      <w:tr w14:paraId="7A968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5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3394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14:ligatures w14:val="standardContextual"/>
                <w:woUserID w:val="1"/>
              </w:rPr>
              <w:t>课程内容</w:t>
            </w:r>
          </w:p>
        </w:tc>
        <w:tc>
          <w:tcPr>
            <w:tcW w:w="3611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0B2F10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1.结合技术领域和职业岗位群要求及相应职业资格标准，合理重构任务模块，阐述框架结构和逻辑关系，课程内容选取体现“岗课赛证”融通；</w:t>
            </w:r>
          </w:p>
          <w:p w14:paraId="301402C8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2.课程内容贴合职业岗位技能需求，反映真实工作任务和工作过程，根据产业发展及时更新课程内容情况以及应用新技术、新标准、新工艺、新方法；</w:t>
            </w:r>
          </w:p>
          <w:p w14:paraId="173FEF82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3.知识点和技能点明确，有助于课程目标的达成；</w:t>
            </w:r>
          </w:p>
          <w:p w14:paraId="7D2A0CF7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4.教学重点、难点分析透彻，依据充分。</w:t>
            </w: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6513F">
            <w:pPr>
              <w:pStyle w:val="16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1" w:after="0" w:afterAutospacing="1"/>
              <w:ind w:left="0" w:right="0"/>
              <w:contextualSpacing w:val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:woUserID w:val="1"/>
              </w:rPr>
              <w:t>10</w:t>
            </w:r>
          </w:p>
        </w:tc>
        <w:tc>
          <w:tcPr>
            <w:tcW w:w="3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33F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</w:p>
        </w:tc>
      </w:tr>
      <w:tr w14:paraId="03B53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5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75AB82">
            <w:pPr>
              <w:pStyle w:val="16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1" w:after="0" w:afterAutospacing="1"/>
              <w:ind w:left="0" w:leftChars="0" w:right="0"/>
              <w:contextualSpacing w:val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:woUserID w:val="1"/>
              </w:rPr>
              <w:t>教学实施</w:t>
            </w:r>
          </w:p>
        </w:tc>
        <w:tc>
          <w:tcPr>
            <w:tcW w:w="3611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3AAB24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1.以工学结合、行动导向为切入点，创新教学方法，体现“教、学、做、练、创、评”一体化的教学模式；</w:t>
            </w:r>
          </w:p>
          <w:p w14:paraId="5F247516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2.教学过程中灵活采用项目式、案例式、探究式、情境式等教学方法，引导学生积极思考、乐于实践，提高教、学效果；</w:t>
            </w:r>
          </w:p>
          <w:p w14:paraId="43C0A767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3.运用成熟的教学策略，使教学重点突出、难点分散，有利于培养学生创新精神；</w:t>
            </w:r>
          </w:p>
          <w:p w14:paraId="7F8B02DB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4.合理应用数字化教学手段，包括虚拟现实、仿真教学、线上教学平台等技术工具，赋能课堂教学，提升教学实效。</w:t>
            </w: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A9733">
            <w:pPr>
              <w:pStyle w:val="16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1" w:after="0" w:afterAutospacing="1"/>
              <w:ind w:left="0" w:right="0"/>
              <w:contextualSpacing w:val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:woUserID w:val="1"/>
              </w:rPr>
              <w:t>15</w:t>
            </w:r>
          </w:p>
        </w:tc>
        <w:tc>
          <w:tcPr>
            <w:tcW w:w="3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095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</w:p>
        </w:tc>
      </w:tr>
      <w:tr w14:paraId="25F09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5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D178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14:ligatures w14:val="standardContextual"/>
                <w:woUserID w:val="1"/>
              </w:rPr>
              <w:t>教学资源</w:t>
            </w:r>
          </w:p>
        </w:tc>
        <w:tc>
          <w:tcPr>
            <w:tcW w:w="3611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8B43BD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1.校内实训场所应满足课程实践教学的需要，设施设备利用率高；</w:t>
            </w:r>
          </w:p>
          <w:p w14:paraId="0851980C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2.校外实习资源布点合理，为课程的实践教学提供真实的工作环境，能够满足学生了解企业实际、体验企业文化的需要；</w:t>
            </w:r>
          </w:p>
          <w:p w14:paraId="39D4985F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3.选用规划教材，合理开发及利用教材；</w:t>
            </w:r>
          </w:p>
          <w:p w14:paraId="44AC83F2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4.课件、案例、习题、实训实习项目、教学视频等教学相关资料齐全，符合课程设计要求，满足课程线上线下教学需要。</w:t>
            </w: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748D3">
            <w:pPr>
              <w:pStyle w:val="16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1" w:after="0" w:afterAutospacing="1"/>
              <w:ind w:left="0" w:right="0"/>
              <w:contextualSpacing w:val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:woUserID w:val="1"/>
              </w:rPr>
              <w:t>10</w:t>
            </w:r>
          </w:p>
        </w:tc>
        <w:tc>
          <w:tcPr>
            <w:tcW w:w="3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8C4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</w:p>
        </w:tc>
      </w:tr>
      <w:tr w14:paraId="6B466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5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9DA344">
            <w:pPr>
              <w:pStyle w:val="16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1" w:after="0" w:afterAutospacing="1"/>
              <w:ind w:left="0" w:leftChars="0" w:right="0"/>
              <w:contextualSpacing w:val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bCs/>
                <w:color w:val="000000"/>
                <w:kern w:val="2"/>
                <w:sz w:val="21"/>
                <w:szCs w:val="21"/>
                <w:lang w:val="en-US" w:eastAsia="zh-CN" w:bidi="ar"/>
                <w:woUserID w:val="1"/>
              </w:rPr>
              <w:t>考核评价</w:t>
            </w:r>
          </w:p>
        </w:tc>
        <w:tc>
          <w:tcPr>
            <w:tcW w:w="3611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EB78A2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1.课程考核符合职业教育学生特点，方式合理、灵活、恰当，注重过程性考核和终结性考核相结合；</w:t>
            </w:r>
          </w:p>
          <w:p w14:paraId="49BCFB55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2.课程评价围绕能力和素质要求，评价体现多元性，强化过程评价，探索增值评价，健全综合评价。</w:t>
            </w: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5E556">
            <w:pPr>
              <w:pStyle w:val="16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1" w:after="0" w:afterAutospacing="1"/>
              <w:ind w:left="0" w:right="0"/>
              <w:contextualSpacing w:val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:woUserID w:val="1"/>
              </w:rPr>
              <w:t>10</w:t>
            </w:r>
          </w:p>
        </w:tc>
        <w:tc>
          <w:tcPr>
            <w:tcW w:w="3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281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</w:p>
        </w:tc>
      </w:tr>
      <w:tr w14:paraId="58384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5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E55094">
            <w:pPr>
              <w:pStyle w:val="16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1" w:after="0" w:afterAutospacing="1" w:line="240" w:lineRule="exact"/>
              <w:ind w:left="0" w:leftChars="0" w:right="0"/>
              <w:contextualSpacing w:val="0"/>
              <w:jc w:val="center"/>
              <w:rPr>
                <w:rFonts w:hint="default" w:ascii="仿宋" w:hAnsi="仿宋" w:eastAsia="仿宋" w:cs="Times New Roman"/>
                <w:bCs/>
                <w:color w:val="000000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bCs/>
                <w:color w:val="000000"/>
                <w:kern w:val="2"/>
                <w:sz w:val="21"/>
                <w:szCs w:val="21"/>
                <w:lang w:val="en-US" w:eastAsia="zh-CN" w:bidi="ar"/>
                <w:woUserID w:val="1"/>
              </w:rPr>
              <w:t>教学成效</w:t>
            </w:r>
          </w:p>
        </w:tc>
        <w:tc>
          <w:tcPr>
            <w:tcW w:w="3611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8DEE7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1.往期教学目标完成度高，教学任务落地，各维度课程目标达成效果良好；</w:t>
            </w:r>
          </w:p>
          <w:p w14:paraId="3CDBB2CE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2.有可量化的成果（如竞赛获奖、证书通过率提升、作品应用等）；</w:t>
            </w:r>
          </w:p>
          <w:p w14:paraId="65C23B9A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3.课程建设与改革形成特色亮点，有可推广的经验。</w:t>
            </w: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5C82F">
            <w:pPr>
              <w:pStyle w:val="16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1" w:after="0" w:afterAutospacing="1" w:line="240" w:lineRule="exact"/>
              <w:ind w:left="0" w:right="0"/>
              <w:contextualSpacing w:val="0"/>
              <w:jc w:val="center"/>
              <w:rPr>
                <w:rFonts w:hint="default" w:ascii="仿宋" w:hAnsi="仿宋" w:eastAsia="仿宋" w:cs="Times New Roman"/>
                <w:bCs/>
                <w:color w:val="000000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bCs/>
                <w:color w:val="000000"/>
                <w:kern w:val="2"/>
                <w:sz w:val="21"/>
                <w:szCs w:val="21"/>
                <w:lang w:val="en-US" w:eastAsia="zh-CN" w:bidi="ar"/>
                <w:woUserID w:val="1"/>
              </w:rPr>
              <w:t>10</w:t>
            </w:r>
          </w:p>
        </w:tc>
        <w:tc>
          <w:tcPr>
            <w:tcW w:w="3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171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</w:p>
        </w:tc>
      </w:tr>
      <w:tr w14:paraId="0A0D7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5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1605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14:ligatures w14:val="standardContextual"/>
                <w:woUserID w:val="1"/>
              </w:rPr>
              <w:t>现场表现</w:t>
            </w:r>
          </w:p>
        </w:tc>
        <w:tc>
          <w:tcPr>
            <w:tcW w:w="3611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2AB929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1.说课程思路清晰、逻辑性强；</w:t>
            </w:r>
          </w:p>
          <w:p w14:paraId="2F2C549C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2.语言表达好，简洁、生动；</w:t>
            </w:r>
          </w:p>
          <w:p w14:paraId="762745CE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3.教态自然，仪表大方、得体；</w:t>
            </w:r>
          </w:p>
          <w:p w14:paraId="211ED09C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4.说课程准备充分，内容无误；</w:t>
            </w:r>
          </w:p>
          <w:p w14:paraId="37B4A0DD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5.时间准确，节奏把握好。</w:t>
            </w: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4B3A0">
            <w:pPr>
              <w:pStyle w:val="16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1" w:after="0" w:afterAutospacing="1"/>
              <w:ind w:left="0" w:right="0"/>
              <w:contextualSpacing w:val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:woUserID w:val="1"/>
              </w:rPr>
              <w:t>10</w:t>
            </w:r>
          </w:p>
        </w:tc>
        <w:tc>
          <w:tcPr>
            <w:tcW w:w="3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2E9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</w:p>
        </w:tc>
      </w:tr>
      <w:tr w14:paraId="6B97D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5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2DCD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14:ligatures w14:val="standardContextual"/>
                <w:woUserID w:val="1"/>
              </w:rPr>
              <w:t>PPT效果</w:t>
            </w:r>
          </w:p>
        </w:tc>
        <w:tc>
          <w:tcPr>
            <w:tcW w:w="3611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1DF479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>1.内容丰富，重点突出；</w:t>
            </w:r>
          </w:p>
          <w:p w14:paraId="706A33AA">
            <w:pPr>
              <w:pStyle w:val="35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rPr>
                <w:rFonts w:hint="default" w:ascii="仿宋" w:hAnsi="仿宋" w:eastAsia="仿宋" w:cs="仿宋"/>
                <w:szCs w:val="21"/>
              </w:rPr>
            </w:pPr>
            <w:r>
              <w:rPr>
                <w:rFonts w:hint="default" w:ascii="仿宋" w:hAnsi="仿宋" w:eastAsia="仿宋" w:cs="仿宋"/>
                <w:szCs w:val="21"/>
                <w:lang w:val="en-US" w:eastAsia="zh-CN"/>
              </w:rPr>
              <w:t xml:space="preserve">2.版面设计美观，能充分利用多种形式表达，具有良好的视觉效果。 </w:t>
            </w:r>
          </w:p>
        </w:tc>
        <w:tc>
          <w:tcPr>
            <w:tcW w:w="3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E81E8">
            <w:pPr>
              <w:pStyle w:val="16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1" w:after="0" w:afterAutospacing="1"/>
              <w:ind w:left="0" w:right="0"/>
              <w:contextualSpacing w:val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:woUserID w:val="1"/>
              </w:rPr>
              <w:t>5</w:t>
            </w:r>
          </w:p>
        </w:tc>
        <w:tc>
          <w:tcPr>
            <w:tcW w:w="3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5D9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</w:p>
        </w:tc>
      </w:tr>
      <w:tr w14:paraId="271CF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5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4F59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14:ligatures w14:val="standardContextual"/>
                <w:woUserID w:val="1"/>
              </w:rPr>
              <w:t>总分</w:t>
            </w:r>
          </w:p>
        </w:tc>
        <w:tc>
          <w:tcPr>
            <w:tcW w:w="4357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E985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</w:p>
        </w:tc>
      </w:tr>
      <w:tr w14:paraId="35999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86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2C29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14:ligatures w14:val="standardContextual"/>
                <w:woUserID w:val="1"/>
              </w:rPr>
              <w:t>主要优点</w:t>
            </w:r>
          </w:p>
        </w:tc>
        <w:tc>
          <w:tcPr>
            <w:tcW w:w="4357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8B40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</w:p>
        </w:tc>
      </w:tr>
      <w:tr w14:paraId="6DC28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86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DBBF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14:ligatures w14:val="standardContextual"/>
                <w:woUserID w:val="1"/>
              </w:rPr>
              <w:t>改进建议</w:t>
            </w:r>
          </w:p>
        </w:tc>
        <w:tc>
          <w:tcPr>
            <w:tcW w:w="4357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ED46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</w:p>
        </w:tc>
      </w:tr>
      <w:tr w14:paraId="69A99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66" w:hRule="atLeast"/>
          <w:jc w:val="center"/>
        </w:trPr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4B46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14:ligatures w14:val="standardContextual"/>
                <w:woUserID w:val="1"/>
              </w:rPr>
              <w:t>评价等级</w:t>
            </w:r>
          </w:p>
        </w:tc>
        <w:tc>
          <w:tcPr>
            <w:tcW w:w="4357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DB80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14:ligatures w14:val="standardContextual"/>
                <w:woUserID w:val="1"/>
              </w:rPr>
              <w:t xml:space="preserve">□优秀（≥90分） □良好（80-89分） </w:t>
            </w:r>
          </w:p>
          <w:p w14:paraId="5EFB5C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woUserID w:val="1"/>
              </w:rPr>
            </w:pPr>
            <w:r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"/>
                <w14:ligatures w14:val="standardContextual"/>
                <w:woUserID w:val="1"/>
              </w:rPr>
              <w:t>□合格（60-79分） □不合格（＜60分）</w:t>
            </w:r>
          </w:p>
        </w:tc>
      </w:tr>
    </w:tbl>
    <w:p w14:paraId="1E0F78C1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 w14:paraId="2D4BD77E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 w14:paraId="481ABE08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 w14:paraId="3E0461B7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  <w:sectPr>
          <w:pgSz w:w="11906" w:h="16838"/>
          <w:pgMar w:top="1474" w:right="1474" w:bottom="1474" w:left="1474" w:header="851" w:footer="992" w:gutter="0"/>
          <w:cols w:space="425" w:num="1"/>
          <w:docGrid w:type="lines" w:linePitch="312" w:charSpace="0"/>
        </w:sectPr>
      </w:pPr>
      <w:r>
        <w:rPr>
          <w:rFonts w:ascii="宋体" w:hAnsi="宋体" w:eastAsia="宋体"/>
          <w:sz w:val="24"/>
          <w:szCs w:val="24"/>
        </w:rPr>
        <w:t xml:space="preserve"> </w:t>
      </w:r>
    </w:p>
    <w:p w14:paraId="7283E7A1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4" w:lineRule="auto"/>
        <w:jc w:val="both"/>
        <w:textAlignment w:val="baseline"/>
        <w:rPr>
          <w:rFonts w:hint="eastAsia"/>
          <w:snapToGrid w:val="0"/>
          <w:color w:val="000000"/>
          <w:spacing w:val="9"/>
          <w:kern w:val="0"/>
          <w14:ligatures w14:val="none"/>
        </w:rPr>
      </w:pPr>
      <w:r>
        <w:rPr>
          <w:snapToGrid w:val="0"/>
          <w:color w:val="000000"/>
          <w:spacing w:val="9"/>
          <w:kern w:val="0"/>
          <w14:ligatures w14:val="none"/>
        </w:rPr>
        <w:t>附件3</w:t>
      </w:r>
    </w:p>
    <w:p w14:paraId="157B8962">
      <w:pPr>
        <w:spacing w:line="480" w:lineRule="auto"/>
        <w:jc w:val="center"/>
        <w:rPr>
          <w:rFonts w:hint="eastAsia" w:ascii="黑体" w:hAnsi="宋体" w:eastAsia="黑体" w:cs="黑体"/>
          <w:color w:val="000000"/>
          <w:sz w:val="32"/>
          <w:szCs w:val="32"/>
          <w:lang w:bidi="ar"/>
        </w:rPr>
      </w:pPr>
      <w:r>
        <w:rPr>
          <w:rFonts w:ascii="黑体" w:hAnsi="宋体" w:eastAsia="黑体" w:cs="黑体"/>
          <w:color w:val="000000"/>
          <w:sz w:val="32"/>
          <w:szCs w:val="32"/>
          <w:lang w:bidi="ar"/>
        </w:rPr>
        <w:t>“</w:t>
      </w:r>
      <w:r>
        <w:rPr>
          <w:rFonts w:hint="eastAsia" w:ascii="黑体" w:hAnsi="宋体" w:eastAsia="黑体" w:cs="黑体"/>
          <w:color w:val="000000"/>
          <w:sz w:val="32"/>
          <w:szCs w:val="32"/>
          <w:lang w:bidi="ar"/>
        </w:rPr>
        <w:t>说课程</w:t>
      </w:r>
      <w:r>
        <w:rPr>
          <w:rFonts w:ascii="黑体" w:hAnsi="宋体" w:eastAsia="黑体" w:cs="黑体"/>
          <w:color w:val="000000"/>
          <w:sz w:val="32"/>
          <w:szCs w:val="32"/>
          <w:lang w:bidi="ar"/>
        </w:rPr>
        <w:t>”教师、课程清单</w:t>
      </w:r>
    </w:p>
    <w:tbl>
      <w:tblPr>
        <w:tblStyle w:val="19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2135"/>
        <w:gridCol w:w="2919"/>
        <w:gridCol w:w="2066"/>
        <w:gridCol w:w="2077"/>
        <w:gridCol w:w="2341"/>
        <w:gridCol w:w="1651"/>
      </w:tblGrid>
      <w:tr w14:paraId="434B0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2" w:type="pct"/>
          </w:tcPr>
          <w:p w14:paraId="179B8F53">
            <w:pPr>
              <w:keepNext w:val="0"/>
              <w:keepLines w:val="0"/>
              <w:suppressLineNumbers w:val="0"/>
              <w:spacing w:before="0" w:beforeAutospacing="0" w:after="0" w:afterAutospacing="0"/>
              <w:ind w:left="560" w:right="0" w:hanging="560" w:hangingChars="200"/>
              <w:jc w:val="center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757" w:type="pct"/>
          </w:tcPr>
          <w:p w14:paraId="71D783F3">
            <w:pPr>
              <w:keepNext w:val="0"/>
              <w:keepLines w:val="0"/>
              <w:suppressLineNumbers w:val="0"/>
              <w:spacing w:before="0" w:beforeAutospacing="0" w:after="0" w:afterAutospacing="0"/>
              <w:ind w:left="560" w:right="0" w:hanging="560" w:hangingChars="200"/>
              <w:jc w:val="center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  <w:t>所在单位</w:t>
            </w:r>
          </w:p>
        </w:tc>
        <w:tc>
          <w:tcPr>
            <w:tcW w:w="1035" w:type="pct"/>
          </w:tcPr>
          <w:p w14:paraId="74CA96B7">
            <w:pPr>
              <w:keepNext w:val="0"/>
              <w:keepLines w:val="0"/>
              <w:suppressLineNumbers w:val="0"/>
              <w:spacing w:before="0" w:beforeAutospacing="0" w:after="0" w:afterAutospacing="0"/>
              <w:ind w:left="560" w:right="0" w:hanging="560" w:hangingChars="200"/>
              <w:jc w:val="center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  <w:t>课程名称</w:t>
            </w:r>
          </w:p>
        </w:tc>
        <w:tc>
          <w:tcPr>
            <w:tcW w:w="732" w:type="pct"/>
          </w:tcPr>
          <w:p w14:paraId="54BA6421">
            <w:pPr>
              <w:keepNext w:val="0"/>
              <w:keepLines w:val="0"/>
              <w:suppressLineNumbers w:val="0"/>
              <w:spacing w:before="0" w:beforeAutospacing="0" w:after="0" w:afterAutospacing="0"/>
              <w:ind w:left="560" w:right="0" w:hanging="560" w:hangingChars="200"/>
              <w:jc w:val="center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  <w:t>课程属性</w:t>
            </w:r>
          </w:p>
        </w:tc>
        <w:tc>
          <w:tcPr>
            <w:tcW w:w="736" w:type="pct"/>
          </w:tcPr>
          <w:p w14:paraId="6BA597E4">
            <w:pPr>
              <w:keepNext w:val="0"/>
              <w:keepLines w:val="0"/>
              <w:suppressLineNumbers w:val="0"/>
              <w:spacing w:before="0" w:beforeAutospacing="0" w:after="0" w:afterAutospacing="0"/>
              <w:ind w:left="560" w:right="0" w:hanging="560" w:hangingChars="200"/>
              <w:jc w:val="center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  <w:t>课程类型</w:t>
            </w:r>
          </w:p>
        </w:tc>
        <w:tc>
          <w:tcPr>
            <w:tcW w:w="830" w:type="pct"/>
          </w:tcPr>
          <w:p w14:paraId="2EB81E36">
            <w:pPr>
              <w:keepNext w:val="0"/>
              <w:keepLines w:val="0"/>
              <w:suppressLineNumbers w:val="0"/>
              <w:spacing w:before="0" w:beforeAutospacing="0" w:after="0" w:afterAutospacing="0"/>
              <w:ind w:left="560" w:right="0" w:hanging="560" w:hangingChars="200"/>
              <w:jc w:val="center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val="en-US" w:eastAsia="zh-CN" w:bidi="ar"/>
              </w:rPr>
              <w:t>课程</w:t>
            </w: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  <w:t>所在专业</w:t>
            </w:r>
          </w:p>
        </w:tc>
        <w:tc>
          <w:tcPr>
            <w:tcW w:w="585" w:type="pct"/>
          </w:tcPr>
          <w:p w14:paraId="6BC98DAC">
            <w:pPr>
              <w:keepNext w:val="0"/>
              <w:keepLines w:val="0"/>
              <w:suppressLineNumbers w:val="0"/>
              <w:spacing w:before="0" w:beforeAutospacing="0" w:after="0" w:afterAutospacing="0"/>
              <w:ind w:left="560" w:right="0" w:hanging="560" w:hangingChars="200"/>
              <w:jc w:val="center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  <w:t>说课程教师</w:t>
            </w:r>
          </w:p>
        </w:tc>
      </w:tr>
      <w:tr w14:paraId="0B552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</w:tcPr>
          <w:p w14:paraId="20C1CFE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57" w:type="pct"/>
          </w:tcPr>
          <w:p w14:paraId="6A9D42D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35" w:type="pct"/>
          </w:tcPr>
          <w:p w14:paraId="3A34B9E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2" w:type="pct"/>
          </w:tcPr>
          <w:p w14:paraId="6F4CDE2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569DD28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830" w:type="pct"/>
          </w:tcPr>
          <w:p w14:paraId="407B58E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585" w:type="pct"/>
          </w:tcPr>
          <w:p w14:paraId="438332A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D9BE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</w:tcPr>
          <w:p w14:paraId="2E7BAB5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57" w:type="pct"/>
          </w:tcPr>
          <w:p w14:paraId="63064EE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35" w:type="pct"/>
          </w:tcPr>
          <w:p w14:paraId="6C33DB4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2" w:type="pct"/>
          </w:tcPr>
          <w:p w14:paraId="17F6C0F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07AE31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830" w:type="pct"/>
          </w:tcPr>
          <w:p w14:paraId="561C05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585" w:type="pct"/>
          </w:tcPr>
          <w:p w14:paraId="220E5DF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F21C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</w:tcPr>
          <w:p w14:paraId="79030A1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57" w:type="pct"/>
          </w:tcPr>
          <w:p w14:paraId="00624E4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35" w:type="pct"/>
          </w:tcPr>
          <w:p w14:paraId="679BF6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2" w:type="pct"/>
          </w:tcPr>
          <w:p w14:paraId="0CA8E94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1E1E771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830" w:type="pct"/>
          </w:tcPr>
          <w:p w14:paraId="54C4AC2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585" w:type="pct"/>
          </w:tcPr>
          <w:p w14:paraId="1F13DC0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140D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</w:tcPr>
          <w:p w14:paraId="25F27C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57" w:type="pct"/>
          </w:tcPr>
          <w:p w14:paraId="33BFF09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35" w:type="pct"/>
          </w:tcPr>
          <w:p w14:paraId="37E01D7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2" w:type="pct"/>
          </w:tcPr>
          <w:p w14:paraId="0EE5AEB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70EA0E8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830" w:type="pct"/>
          </w:tcPr>
          <w:p w14:paraId="74FDA90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585" w:type="pct"/>
          </w:tcPr>
          <w:p w14:paraId="112C68C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7A13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</w:tcPr>
          <w:p w14:paraId="36968AE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57" w:type="pct"/>
          </w:tcPr>
          <w:p w14:paraId="5B10275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35" w:type="pct"/>
          </w:tcPr>
          <w:p w14:paraId="3856763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2" w:type="pct"/>
          </w:tcPr>
          <w:p w14:paraId="039AAA4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36" w:type="pct"/>
          </w:tcPr>
          <w:p w14:paraId="4F8C41C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830" w:type="pct"/>
          </w:tcPr>
          <w:p w14:paraId="0213226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585" w:type="pct"/>
          </w:tcPr>
          <w:p w14:paraId="3E62413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7FD2C1BF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  <w:r>
        <w:rPr>
          <w:rFonts w:hint="eastAsia" w:ascii="仿宋" w:hAnsi="仿宋" w:eastAsia="仿宋" w:cs="仿宋"/>
          <w:bCs/>
          <w:color w:val="000000"/>
          <w:szCs w:val="21"/>
          <w:lang w:bidi="ar"/>
        </w:rPr>
        <w:t>注：课程属性：公共基础课、专业基础课、</w:t>
      </w:r>
      <w:r>
        <w:rPr>
          <w:rFonts w:hint="eastAsia" w:ascii="仿宋" w:hAnsi="仿宋" w:eastAsia="仿宋" w:cs="仿宋"/>
          <w:bCs/>
          <w:color w:val="000000"/>
          <w:szCs w:val="21"/>
          <w:highlight w:val="none"/>
          <w:lang w:bidi="ar"/>
        </w:rPr>
        <w:t>专业核心课、专业拓展课；</w:t>
      </w:r>
      <w:r>
        <w:rPr>
          <w:rFonts w:hint="eastAsia" w:ascii="仿宋" w:hAnsi="仿宋" w:eastAsia="仿宋" w:cs="仿宋"/>
          <w:bCs/>
          <w:color w:val="000000"/>
          <w:szCs w:val="21"/>
          <w:lang w:bidi="ar"/>
        </w:rPr>
        <w:br w:type="textWrapping"/>
      </w:r>
      <w:r>
        <w:rPr>
          <w:rFonts w:hint="eastAsia" w:ascii="仿宋" w:hAnsi="仿宋" w:eastAsia="仿宋" w:cs="仿宋"/>
          <w:bCs/>
          <w:color w:val="000000"/>
          <w:szCs w:val="21"/>
          <w:lang w:bidi="ar"/>
        </w:rPr>
        <w:t>课程类型：理论课、理实一体化课、实践课。</w:t>
      </w:r>
    </w:p>
    <w:p w14:paraId="49504574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</w:p>
    <w:p w14:paraId="18FD38CF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</w:p>
    <w:p w14:paraId="481BF5D9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</w:p>
    <w:p w14:paraId="72CBA711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</w:p>
    <w:p w14:paraId="0AD44C1B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</w:p>
    <w:p w14:paraId="1DB95D10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</w:p>
    <w:p w14:paraId="5DD7A9FC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</w:p>
    <w:p w14:paraId="66810EC0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</w:p>
    <w:p w14:paraId="244BB772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</w:p>
    <w:p w14:paraId="0B3421B6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</w:p>
    <w:p w14:paraId="36333100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</w:p>
    <w:p w14:paraId="09F0ED3B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</w:p>
    <w:p w14:paraId="56E1E30C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</w:p>
    <w:p w14:paraId="0A1A0463">
      <w:pPr>
        <w:pStyle w:val="1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4" w:lineRule="auto"/>
        <w:jc w:val="both"/>
        <w:textAlignment w:val="baseline"/>
        <w:rPr>
          <w:rFonts w:hint="eastAsia"/>
          <w:snapToGrid w:val="0"/>
          <w:color w:val="000000"/>
          <w:spacing w:val="9"/>
          <w:kern w:val="0"/>
          <w14:ligatures w14:val="none"/>
        </w:rPr>
      </w:pPr>
      <w:r>
        <w:rPr>
          <w:snapToGrid w:val="0"/>
          <w:color w:val="000000"/>
          <w:spacing w:val="9"/>
          <w:kern w:val="0"/>
          <w14:ligatures w14:val="none"/>
        </w:rPr>
        <w:t>附件4</w:t>
      </w:r>
    </w:p>
    <w:p w14:paraId="3E142F9B">
      <w:pPr>
        <w:spacing w:line="480" w:lineRule="auto"/>
        <w:jc w:val="center"/>
        <w:rPr>
          <w:rFonts w:hint="eastAsia" w:ascii="黑体" w:hAnsi="宋体" w:eastAsia="黑体" w:cs="黑体"/>
          <w:color w:val="000000"/>
          <w:sz w:val="32"/>
          <w:szCs w:val="32"/>
          <w:lang w:bidi="ar"/>
        </w:rPr>
      </w:pPr>
      <w:r>
        <w:rPr>
          <w:rFonts w:ascii="黑体" w:hAnsi="宋体" w:eastAsia="黑体" w:cs="黑体"/>
          <w:color w:val="000000"/>
          <w:sz w:val="32"/>
          <w:szCs w:val="32"/>
          <w:lang w:bidi="ar"/>
        </w:rPr>
        <w:t>优秀“</w:t>
      </w:r>
      <w:r>
        <w:rPr>
          <w:rFonts w:hint="eastAsia" w:ascii="黑体" w:hAnsi="宋体" w:eastAsia="黑体" w:cs="黑体"/>
          <w:color w:val="000000"/>
          <w:sz w:val="32"/>
          <w:szCs w:val="32"/>
          <w:lang w:bidi="ar"/>
        </w:rPr>
        <w:t>说课程</w:t>
      </w:r>
      <w:r>
        <w:rPr>
          <w:rFonts w:ascii="黑体" w:hAnsi="宋体" w:eastAsia="黑体" w:cs="黑体"/>
          <w:color w:val="000000"/>
          <w:sz w:val="32"/>
          <w:szCs w:val="32"/>
          <w:lang w:bidi="ar"/>
        </w:rPr>
        <w:t>”教师推荐汇总表</w:t>
      </w:r>
    </w:p>
    <w:tbl>
      <w:tblPr>
        <w:tblStyle w:val="19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2620"/>
        <w:gridCol w:w="2699"/>
        <w:gridCol w:w="1910"/>
        <w:gridCol w:w="1924"/>
        <w:gridCol w:w="2031"/>
        <w:gridCol w:w="2005"/>
      </w:tblGrid>
      <w:tr w14:paraId="34F7E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2" w:type="pct"/>
          </w:tcPr>
          <w:p w14:paraId="0A705546">
            <w:pPr>
              <w:keepNext w:val="0"/>
              <w:keepLines w:val="0"/>
              <w:suppressLineNumbers w:val="0"/>
              <w:spacing w:before="0" w:beforeAutospacing="0" w:after="0" w:afterAutospacing="0"/>
              <w:ind w:left="560" w:right="0" w:hanging="560" w:hangingChars="200"/>
              <w:jc w:val="center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929" w:type="pct"/>
          </w:tcPr>
          <w:p w14:paraId="28DC0701">
            <w:pPr>
              <w:keepNext w:val="0"/>
              <w:keepLines w:val="0"/>
              <w:suppressLineNumbers w:val="0"/>
              <w:spacing w:before="0" w:beforeAutospacing="0" w:after="0" w:afterAutospacing="0"/>
              <w:ind w:left="560" w:right="0" w:hanging="560" w:hangingChars="200"/>
              <w:jc w:val="center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  <w:t>所在单位</w:t>
            </w:r>
          </w:p>
        </w:tc>
        <w:tc>
          <w:tcPr>
            <w:tcW w:w="957" w:type="pct"/>
          </w:tcPr>
          <w:p w14:paraId="045D67C9">
            <w:pPr>
              <w:keepNext w:val="0"/>
              <w:keepLines w:val="0"/>
              <w:suppressLineNumbers w:val="0"/>
              <w:spacing w:before="0" w:beforeAutospacing="0" w:after="0" w:afterAutospacing="0"/>
              <w:ind w:left="560" w:right="0" w:hanging="560" w:hangingChars="200"/>
              <w:jc w:val="center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  <w:t>课程名称</w:t>
            </w:r>
          </w:p>
        </w:tc>
        <w:tc>
          <w:tcPr>
            <w:tcW w:w="677" w:type="pct"/>
          </w:tcPr>
          <w:p w14:paraId="0A9A0C9C">
            <w:pPr>
              <w:keepNext w:val="0"/>
              <w:keepLines w:val="0"/>
              <w:suppressLineNumbers w:val="0"/>
              <w:spacing w:before="0" w:beforeAutospacing="0" w:after="0" w:afterAutospacing="0"/>
              <w:ind w:left="560" w:right="0" w:hanging="560" w:hangingChars="200"/>
              <w:jc w:val="center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  <w:t>课程属性</w:t>
            </w:r>
          </w:p>
        </w:tc>
        <w:tc>
          <w:tcPr>
            <w:tcW w:w="682" w:type="pct"/>
          </w:tcPr>
          <w:p w14:paraId="1F906800">
            <w:pPr>
              <w:keepNext w:val="0"/>
              <w:keepLines w:val="0"/>
              <w:suppressLineNumbers w:val="0"/>
              <w:spacing w:before="0" w:beforeAutospacing="0" w:after="0" w:afterAutospacing="0"/>
              <w:ind w:left="560" w:right="0" w:hanging="560" w:hangingChars="200"/>
              <w:jc w:val="center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  <w:t>课程类型</w:t>
            </w:r>
          </w:p>
        </w:tc>
        <w:tc>
          <w:tcPr>
            <w:tcW w:w="720" w:type="pct"/>
          </w:tcPr>
          <w:p w14:paraId="48821EC0">
            <w:pPr>
              <w:keepNext w:val="0"/>
              <w:keepLines w:val="0"/>
              <w:suppressLineNumbers w:val="0"/>
              <w:spacing w:before="0" w:beforeAutospacing="0" w:after="0" w:afterAutospacing="0"/>
              <w:ind w:left="560" w:right="0" w:hanging="560" w:hangingChars="200"/>
              <w:jc w:val="center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val="en-US" w:eastAsia="zh-CN" w:bidi="ar"/>
              </w:rPr>
              <w:t>课程</w:t>
            </w: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  <w:t>所在专业</w:t>
            </w:r>
          </w:p>
        </w:tc>
        <w:tc>
          <w:tcPr>
            <w:tcW w:w="711" w:type="pct"/>
          </w:tcPr>
          <w:p w14:paraId="59B81067">
            <w:pPr>
              <w:keepNext w:val="0"/>
              <w:keepLines w:val="0"/>
              <w:suppressLineNumbers w:val="0"/>
              <w:spacing w:before="0" w:beforeAutospacing="0" w:after="0" w:afterAutospacing="0"/>
              <w:ind w:left="560" w:right="0" w:hanging="560" w:hangingChars="200"/>
              <w:jc w:val="center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lang w:bidi="ar"/>
              </w:rPr>
              <w:t>说课程教师</w:t>
            </w:r>
          </w:p>
        </w:tc>
      </w:tr>
      <w:tr w14:paraId="08CF6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</w:tcPr>
          <w:p w14:paraId="77751FA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29" w:type="pct"/>
          </w:tcPr>
          <w:p w14:paraId="136E121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57" w:type="pct"/>
          </w:tcPr>
          <w:p w14:paraId="418D46A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77" w:type="pct"/>
          </w:tcPr>
          <w:p w14:paraId="7699274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82" w:type="pct"/>
          </w:tcPr>
          <w:p w14:paraId="3B97A7C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20" w:type="pct"/>
          </w:tcPr>
          <w:p w14:paraId="7F0DDEE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11" w:type="pct"/>
          </w:tcPr>
          <w:p w14:paraId="755FEE3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70DF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</w:tcPr>
          <w:p w14:paraId="43A3C6E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29" w:type="pct"/>
          </w:tcPr>
          <w:p w14:paraId="1FDF4F1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57" w:type="pct"/>
          </w:tcPr>
          <w:p w14:paraId="4ABDA08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77" w:type="pct"/>
          </w:tcPr>
          <w:p w14:paraId="5DE4DE2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82" w:type="pct"/>
          </w:tcPr>
          <w:p w14:paraId="289CE25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20" w:type="pct"/>
          </w:tcPr>
          <w:p w14:paraId="239C3E1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11" w:type="pct"/>
          </w:tcPr>
          <w:p w14:paraId="74E404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5637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</w:tcPr>
          <w:p w14:paraId="0DD64E1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29" w:type="pct"/>
          </w:tcPr>
          <w:p w14:paraId="68C7983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57" w:type="pct"/>
          </w:tcPr>
          <w:p w14:paraId="4035A64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77" w:type="pct"/>
          </w:tcPr>
          <w:p w14:paraId="1EE9695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82" w:type="pct"/>
          </w:tcPr>
          <w:p w14:paraId="575215C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20" w:type="pct"/>
          </w:tcPr>
          <w:p w14:paraId="761E497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11" w:type="pct"/>
          </w:tcPr>
          <w:p w14:paraId="7E077EA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864C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</w:tcPr>
          <w:p w14:paraId="5199E49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29" w:type="pct"/>
          </w:tcPr>
          <w:p w14:paraId="3420E63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57" w:type="pct"/>
          </w:tcPr>
          <w:p w14:paraId="200AEB6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77" w:type="pct"/>
          </w:tcPr>
          <w:p w14:paraId="28B8878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82" w:type="pct"/>
          </w:tcPr>
          <w:p w14:paraId="1FAF7CB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20" w:type="pct"/>
          </w:tcPr>
          <w:p w14:paraId="7A8B0DF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11" w:type="pct"/>
          </w:tcPr>
          <w:p w14:paraId="1D71114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85A9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" w:type="pct"/>
          </w:tcPr>
          <w:p w14:paraId="316113B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29" w:type="pct"/>
          </w:tcPr>
          <w:p w14:paraId="2845CB2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57" w:type="pct"/>
          </w:tcPr>
          <w:p w14:paraId="5DE110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77" w:type="pct"/>
          </w:tcPr>
          <w:p w14:paraId="45222D1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682" w:type="pct"/>
          </w:tcPr>
          <w:p w14:paraId="42B90F2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20" w:type="pct"/>
          </w:tcPr>
          <w:p w14:paraId="3A8172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711" w:type="pct"/>
          </w:tcPr>
          <w:p w14:paraId="287C8F1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178C613B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  <w:r>
        <w:rPr>
          <w:rFonts w:hint="eastAsia" w:ascii="仿宋" w:hAnsi="仿宋" w:eastAsia="仿宋" w:cs="仿宋"/>
          <w:bCs/>
          <w:color w:val="000000"/>
          <w:szCs w:val="21"/>
          <w:lang w:bidi="ar"/>
        </w:rPr>
        <w:t>注：课程属性：公共基础课、专业基础课、专业核心课、专业拓展课；</w:t>
      </w:r>
      <w:r>
        <w:rPr>
          <w:rFonts w:hint="eastAsia" w:ascii="仿宋" w:hAnsi="仿宋" w:eastAsia="仿宋" w:cs="仿宋"/>
          <w:bCs/>
          <w:color w:val="000000"/>
          <w:szCs w:val="21"/>
          <w:lang w:bidi="ar"/>
        </w:rPr>
        <w:br w:type="textWrapping"/>
      </w:r>
      <w:r>
        <w:rPr>
          <w:rFonts w:hint="eastAsia" w:ascii="仿宋" w:hAnsi="仿宋" w:eastAsia="仿宋" w:cs="仿宋"/>
          <w:bCs/>
          <w:color w:val="000000"/>
          <w:szCs w:val="21"/>
          <w:lang w:bidi="ar"/>
        </w:rPr>
        <w:t>课程类型：理论课、理实一体化课、实践课。</w:t>
      </w:r>
    </w:p>
    <w:p w14:paraId="12EAE4ED">
      <w:pPr>
        <w:ind w:left="420" w:hanging="420" w:hangingChars="200"/>
        <w:rPr>
          <w:rFonts w:hint="eastAsia" w:ascii="仿宋" w:hAnsi="仿宋" w:eastAsia="仿宋" w:cs="仿宋"/>
          <w:bCs/>
          <w:color w:val="000000"/>
          <w:szCs w:val="21"/>
          <w:lang w:bidi="ar"/>
        </w:rPr>
      </w:pPr>
    </w:p>
    <w:p w14:paraId="7B0609A2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sectPr>
      <w:pgSz w:w="16838" w:h="11906" w:orient="landscape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C99CBC-B72C-445E-A7F5-33039DF081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5FB7FC6-0250-4935-BC33-3372A440326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A9A463F-13D0-4314-AA13-B9B49B70140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69871EB-23C6-4D1F-964F-6DA585F870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E69"/>
    <w:rsid w:val="00051F9F"/>
    <w:rsid w:val="00075797"/>
    <w:rsid w:val="000B1CF5"/>
    <w:rsid w:val="00112E69"/>
    <w:rsid w:val="001C7299"/>
    <w:rsid w:val="002606C2"/>
    <w:rsid w:val="003C122F"/>
    <w:rsid w:val="003C588B"/>
    <w:rsid w:val="003D017F"/>
    <w:rsid w:val="004C0602"/>
    <w:rsid w:val="00672644"/>
    <w:rsid w:val="006C18DE"/>
    <w:rsid w:val="006C2063"/>
    <w:rsid w:val="0079265D"/>
    <w:rsid w:val="008C0A91"/>
    <w:rsid w:val="009A179D"/>
    <w:rsid w:val="009D5389"/>
    <w:rsid w:val="00A4120F"/>
    <w:rsid w:val="00A975ED"/>
    <w:rsid w:val="00AA29CF"/>
    <w:rsid w:val="00B53C3A"/>
    <w:rsid w:val="00C613D7"/>
    <w:rsid w:val="00D325A0"/>
    <w:rsid w:val="00DC6071"/>
    <w:rsid w:val="00E71F18"/>
    <w:rsid w:val="00EF2BB7"/>
    <w:rsid w:val="00F422E8"/>
    <w:rsid w:val="025648CB"/>
    <w:rsid w:val="04150BBA"/>
    <w:rsid w:val="0663137E"/>
    <w:rsid w:val="07DF4652"/>
    <w:rsid w:val="12814503"/>
    <w:rsid w:val="1BA41BAF"/>
    <w:rsid w:val="1CE11447"/>
    <w:rsid w:val="1F747717"/>
    <w:rsid w:val="24165B02"/>
    <w:rsid w:val="243018C9"/>
    <w:rsid w:val="251B4B06"/>
    <w:rsid w:val="2656702A"/>
    <w:rsid w:val="26AC54EB"/>
    <w:rsid w:val="282A1E85"/>
    <w:rsid w:val="292673D8"/>
    <w:rsid w:val="29A520E4"/>
    <w:rsid w:val="2B566C7A"/>
    <w:rsid w:val="2F1644C5"/>
    <w:rsid w:val="31E30162"/>
    <w:rsid w:val="39CE5B92"/>
    <w:rsid w:val="3B4FA461"/>
    <w:rsid w:val="3D2717B1"/>
    <w:rsid w:val="3DBFFBA8"/>
    <w:rsid w:val="3E7A080B"/>
    <w:rsid w:val="4193262C"/>
    <w:rsid w:val="425932EA"/>
    <w:rsid w:val="44D538D3"/>
    <w:rsid w:val="4FD7DCED"/>
    <w:rsid w:val="519F2E48"/>
    <w:rsid w:val="52E6760E"/>
    <w:rsid w:val="5A7C110A"/>
    <w:rsid w:val="5D577585"/>
    <w:rsid w:val="5FEB7114"/>
    <w:rsid w:val="697B25E4"/>
    <w:rsid w:val="6D66F5C9"/>
    <w:rsid w:val="6EAF7751"/>
    <w:rsid w:val="768D3AA7"/>
    <w:rsid w:val="76FD56BE"/>
    <w:rsid w:val="7A954D76"/>
    <w:rsid w:val="7B554B2B"/>
    <w:rsid w:val="7BDBB7EC"/>
    <w:rsid w:val="7D115EA6"/>
    <w:rsid w:val="7D6DF4C7"/>
    <w:rsid w:val="7DAFA729"/>
    <w:rsid w:val="7EE3C7E0"/>
    <w:rsid w:val="7F73BF4C"/>
    <w:rsid w:val="7FE243F2"/>
    <w:rsid w:val="9FFF704B"/>
    <w:rsid w:val="AFDF5F72"/>
    <w:rsid w:val="B2D7F746"/>
    <w:rsid w:val="B9FF962B"/>
    <w:rsid w:val="CF7F4F12"/>
    <w:rsid w:val="D6DD2DD0"/>
    <w:rsid w:val="DBFF906E"/>
    <w:rsid w:val="DF7E5942"/>
    <w:rsid w:val="EB6F4CC4"/>
    <w:rsid w:val="EF59E180"/>
    <w:rsid w:val="EF9F32BB"/>
    <w:rsid w:val="F5FD0AE2"/>
    <w:rsid w:val="F6FF5628"/>
    <w:rsid w:val="F8FFC82B"/>
    <w:rsid w:val="FBBE46D7"/>
    <w:rsid w:val="FBE73BCC"/>
    <w:rsid w:val="FE57E0FE"/>
    <w:rsid w:val="FFFE155D"/>
    <w:rsid w:val="FFFF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unhideWhenUsed/>
    <w:uiPriority w:val="1"/>
  </w:style>
  <w:style w:type="table" w:default="1" w:styleId="18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13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2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Normal (Web)"/>
    <w:basedOn w:val="1"/>
    <w:semiHidden/>
    <w:unhideWhenUsed/>
    <w:uiPriority w:val="99"/>
    <w:rPr>
      <w:sz w:val="24"/>
    </w:rPr>
  </w:style>
  <w:style w:type="paragraph" w:styleId="17">
    <w:name w:val="Title"/>
    <w:basedOn w:val="1"/>
    <w:next w:val="1"/>
    <w:link w:val="3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9">
    <w:name w:val="Table Grid"/>
    <w:basedOn w:val="1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21">
    <w:name w:val="Strong"/>
    <w:basedOn w:val="20"/>
    <w:qFormat/>
    <w:uiPriority w:val="22"/>
    <w:rPr>
      <w:b/>
    </w:rPr>
  </w:style>
  <w:style w:type="character" w:customStyle="1" w:styleId="22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3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6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7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8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20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20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0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41">
    <w:name w:val="页脚 字符"/>
    <w:basedOn w:val="20"/>
    <w:link w:val="13"/>
    <w:qFormat/>
    <w:uiPriority w:val="99"/>
    <w:rPr>
      <w:sz w:val="18"/>
      <w:szCs w:val="18"/>
    </w:rPr>
  </w:style>
  <w:style w:type="character" w:customStyle="1" w:styleId="42">
    <w:name w:val="15"/>
    <w:basedOn w:val="20"/>
    <w:qFormat/>
    <w:uiPriority w:val="0"/>
    <w:rPr>
      <w:rFonts w:hint="default" w:ascii="Times New Roman" w:hAnsi="Times New Roman" w:cs="Times New Roman"/>
      <w:b/>
    </w:rPr>
  </w:style>
  <w:style w:type="character" w:customStyle="1" w:styleId="43">
    <w:name w:val="10"/>
    <w:basedOn w:val="20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3718</Words>
  <Characters>3803</Characters>
  <Lines>1</Lines>
  <Paragraphs>1</Paragraphs>
  <TotalTime>0</TotalTime>
  <ScaleCrop>false</ScaleCrop>
  <LinksUpToDate>false</LinksUpToDate>
  <CharactersWithSpaces>3949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2026-07-12T10:36:00Z</dcterms:created>
  <dc:creator>玎 王</dc:creator>
  <cp:lastModifiedBy>ᝰ</cp:lastModifiedBy>
  <dcterms:modified xsi:type="dcterms:W3CDTF">2026-09-27T08:18:25Z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eyJoZGlkIjoiMzE2OGQ3NWQ5NjViNGNlNjQ0ZWEwYjExMDFkMTA2MzgiLCJ1c2VySWQiOiI0OTQ3MzA3MzkifQ==</vt:lpwstr>
  </property>
  <property fmtid="{D5CDD505-2E9C-101B-9397-08002B2CF9AE}" pid="4" name="ICV">
    <vt:lpwstr>16945B1ED1F0484A96B929D97D201D4A_13</vt:lpwstr>
  </property>
</Properties>
</file>